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3</w:t>
      </w:r>
      <w:r>
        <w:rPr>
          <w:rFonts w:ascii="Arial" w:hAnsi="Arial" w:eastAsia="宋体" w:cs="Arial"/>
          <w:b/>
          <w:sz w:val="24"/>
          <w:szCs w:val="24"/>
          <w:lang w:eastAsia="zh-CN"/>
        </w:rPr>
        <w:tab/>
      </w:r>
      <w:r>
        <w:rPr>
          <w:rFonts w:ascii="Arial" w:hAnsi="Arial" w:eastAsia="宋体" w:cs="Arial"/>
          <w:b/>
          <w:sz w:val="24"/>
          <w:szCs w:val="24"/>
          <w:lang w:eastAsia="zh-CN"/>
        </w:rPr>
        <w:t>R4-24</w:t>
      </w:r>
      <w:r>
        <w:rPr>
          <w:rFonts w:hint="eastAsia" w:eastAsia="宋体" w:cs="Arial"/>
          <w:b/>
          <w:sz w:val="24"/>
          <w:szCs w:val="24"/>
          <w:lang w:val="en-US" w:eastAsia="zh-CN"/>
        </w:rPr>
        <w:t>18513</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5091</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highlight w:val="none"/>
                <w:lang w:val="en-US" w:eastAsia="zh-CN"/>
              </w:rPr>
              <w:t>15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bookmarkStart w:id="5" w:name="_GoBack"/>
            <w:r>
              <w:rPr>
                <w:rFonts w:hint="eastAsia"/>
                <w:lang w:val="en-US" w:eastAsia="zh-CN"/>
              </w:rPr>
              <w:t>(NR_redcap-Core)Correction on</w:t>
            </w:r>
            <w:r>
              <w:rPr>
                <w:rFonts w:hint="eastAsia"/>
                <w:lang w:eastAsia="zh-CN"/>
              </w:rPr>
              <w:t xml:space="preserve"> </w:t>
            </w:r>
            <w:r>
              <w:rPr>
                <w:rFonts w:hint="eastAsia"/>
                <w:lang w:val="en-US" w:eastAsia="zh-CN"/>
              </w:rPr>
              <w:t>RedCap UE</w:t>
            </w:r>
            <w:bookmarkEnd w:id="5"/>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lang w:eastAsia="ja-JP"/>
              </w:rPr>
              <w:t>NR_redcap-Core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w:t>
            </w:r>
            <w:r>
              <w:rPr>
                <w:rFonts w:hint="eastAsia"/>
                <w:lang w:val="en-US" w:eastAsia="zh-CN"/>
              </w:rPr>
              <w:t>10</w:t>
            </w:r>
            <w:r>
              <w:t>-</w:t>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ascii="Arial" w:hAnsi="Arial" w:cs="Arial" w:eastAsiaTheme="minorEastAsia"/>
                <w:b w:val="0"/>
                <w:bCs w:val="0"/>
                <w:lang w:val="en-US" w:eastAsia="zh-CN"/>
              </w:rPr>
            </w:pPr>
            <w:r>
              <w:rPr>
                <w:rFonts w:hint="default" w:ascii="Arial" w:hAnsi="Arial" w:cs="Arial"/>
                <w:b w:val="0"/>
                <w:bCs w:val="0"/>
                <w:lang w:val="en-US" w:eastAsia="zh-CN"/>
              </w:rPr>
              <w:t>T</w:t>
            </w:r>
            <w:r>
              <w:rPr>
                <w:rFonts w:hint="default" w:ascii="Arial" w:hAnsi="Arial" w:cs="Arial"/>
                <w:b w:val="0"/>
                <w:bCs w:val="0"/>
              </w:rPr>
              <w:t>he parameters related to Redcap UE in the table</w:t>
            </w:r>
            <w:r>
              <w:rPr>
                <w:rFonts w:hint="default" w:ascii="Arial" w:hAnsi="Arial" w:cs="Arial"/>
                <w:b w:val="0"/>
                <w:bCs w:val="0"/>
                <w:lang w:val="en-US" w:eastAsia="zh-CN"/>
              </w:rPr>
              <w:t xml:space="preserve"> is not right, e.g., ‘</w:t>
            </w:r>
            <w:r>
              <w:rPr>
                <w:rFonts w:ascii="Arial" w:hAnsi="Arial" w:cs="Arial"/>
                <w:b w:val="0"/>
                <w:bCs w:val="0"/>
              </w:rPr>
              <w:t>T</w:t>
            </w:r>
            <w:r>
              <w:rPr>
                <w:rFonts w:ascii="Arial" w:hAnsi="Arial" w:cs="Arial"/>
                <w:b w:val="0"/>
                <w:bCs w:val="0"/>
                <w:vertAlign w:val="subscript"/>
              </w:rPr>
              <w:t>detect,EUTRAN</w:t>
            </w:r>
            <w:r>
              <w:rPr>
                <w:rFonts w:hint="default" w:ascii="Arial" w:hAnsi="Arial" w:cs="Arial"/>
                <w:b w:val="0"/>
                <w:bCs w:val="0"/>
                <w:lang w:val="en-US" w:eastAsia="zh-CN"/>
              </w:rPr>
              <w:t xml:space="preserve">’ in table </w:t>
            </w:r>
            <w:r>
              <w:rPr>
                <w:rFonts w:ascii="Arial" w:hAnsi="Arial" w:cs="Arial"/>
                <w:b w:val="0"/>
                <w:bCs w:val="0"/>
                <w:snapToGrid w:val="0"/>
              </w:rPr>
              <w:t>4.2B.2.5-1</w:t>
            </w:r>
            <w:r>
              <w:rPr>
                <w:rFonts w:hint="default" w:ascii="Arial" w:hAnsi="Arial" w:cs="Arial"/>
                <w:b w:val="0"/>
                <w:bCs w:val="0"/>
                <w:snapToGrid w:val="0"/>
                <w:lang w:val="en-US" w:eastAsia="zh-CN"/>
              </w:rPr>
              <w:t>.</w:t>
            </w:r>
          </w:p>
          <w:p>
            <w:pPr>
              <w:pStyle w:val="105"/>
              <w:numPr>
                <w:ilvl w:val="-1"/>
                <w:numId w:val="0"/>
              </w:numPr>
              <w:spacing w:after="0"/>
              <w:ind w:left="0"/>
              <w:rPr>
                <w:rFonts w:hint="default" w:ascii="Arial" w:hAnsi="Arial" w:cs="Arial"/>
                <w:lang w:val="en-US" w:eastAsia="zh-CN"/>
              </w:rPr>
            </w:pPr>
          </w:p>
          <w:p>
            <w:pPr>
              <w:rPr>
                <w:rFonts w:hint="default" w:ascii="Arial" w:hAnsi="Arial" w:cs="Arial" w:eastAsiaTheme="minorEastAsia"/>
                <w:lang w:val="en-US" w:eastAsia="zh-CN"/>
              </w:rPr>
            </w:pPr>
            <w:r>
              <w:rPr>
                <w:rFonts w:ascii="Arial" w:hAnsi="Arial" w:cs="Arial"/>
              </w:rPr>
              <w:t xml:space="preserve">The requirements defined in clause </w:t>
            </w:r>
            <w:r>
              <w:rPr>
                <w:rFonts w:hint="default" w:ascii="Arial" w:hAnsi="Arial" w:cs="Arial"/>
                <w:lang w:val="en-US" w:eastAsia="zh-CN"/>
              </w:rPr>
              <w:t>4.2B.2.9.2</w:t>
            </w:r>
            <w:r>
              <w:rPr>
                <w:rFonts w:ascii="Arial" w:hAnsi="Arial" w:cs="Arial"/>
              </w:rPr>
              <w:t xml:space="preserve"> apply for </w:t>
            </w:r>
            <w:r>
              <w:rPr>
                <w:rFonts w:ascii="Arial" w:hAnsi="Arial" w:cs="Arial"/>
                <w:lang w:val="en-US"/>
              </w:rPr>
              <w:t>4.2B.2.9.8</w:t>
            </w:r>
            <w:r>
              <w:rPr>
                <w:rFonts w:hint="default" w:ascii="Arial" w:hAnsi="Arial" w:cs="Arial"/>
                <w:lang w:val="en-US" w:eastAsia="zh-CN"/>
              </w:rPr>
              <w:t xml:space="preserve"> other than 4.2.2.9.4.</w:t>
            </w:r>
          </w:p>
          <w:p>
            <w:pPr>
              <w:pStyle w:val="105"/>
              <w:numPr>
                <w:ilvl w:val="-1"/>
                <w:numId w:val="0"/>
              </w:numPr>
              <w:spacing w:after="0"/>
              <w:ind w:left="0"/>
              <w:rPr>
                <w:rFonts w:hint="eastAsia"/>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1"/>
                <w:numId w:val="0"/>
              </w:numPr>
              <w:spacing w:after="0"/>
              <w:ind w:left="0"/>
              <w:rPr>
                <w:rFonts w:hint="default" w:ascii="Arial" w:hAnsi="Arial" w:cs="Arial"/>
                <w:b w:val="0"/>
                <w:bCs w:val="0"/>
                <w:lang w:val="en-US" w:eastAsia="zh-CN"/>
              </w:rPr>
            </w:pPr>
            <w:r>
              <w:rPr>
                <w:rFonts w:hint="default" w:ascii="Arial" w:hAnsi="Arial" w:cs="Arial"/>
                <w:b w:val="0"/>
                <w:bCs w:val="0"/>
              </w:rPr>
              <w:t>Align the parameters related to Redcap UE in the table</w:t>
            </w:r>
            <w:r>
              <w:rPr>
                <w:rFonts w:hint="default" w:ascii="Arial" w:hAnsi="Arial" w:cs="Arial"/>
                <w:b w:val="0"/>
                <w:bCs w:val="0"/>
                <w:lang w:val="en-US" w:eastAsia="zh-CN"/>
              </w:rPr>
              <w:t>, e.g., change ‘</w:t>
            </w:r>
            <w:r>
              <w:rPr>
                <w:rFonts w:ascii="Arial" w:hAnsi="Arial" w:cs="Arial"/>
                <w:b w:val="0"/>
                <w:bCs w:val="0"/>
              </w:rPr>
              <w:t>T</w:t>
            </w:r>
            <w:r>
              <w:rPr>
                <w:rFonts w:ascii="Arial" w:hAnsi="Arial" w:cs="Arial"/>
                <w:b w:val="0"/>
                <w:bCs w:val="0"/>
                <w:vertAlign w:val="subscript"/>
              </w:rPr>
              <w:t>detect,EUTRAN</w:t>
            </w:r>
            <w:r>
              <w:rPr>
                <w:rFonts w:hint="default" w:ascii="Arial" w:hAnsi="Arial" w:cs="Arial"/>
                <w:b w:val="0"/>
                <w:bCs w:val="0"/>
                <w:lang w:val="en-US" w:eastAsia="zh-CN"/>
              </w:rPr>
              <w:t>’ to ‘</w:t>
            </w:r>
            <w:r>
              <w:rPr>
                <w:rFonts w:ascii="Arial" w:hAnsi="Arial" w:cs="Arial"/>
                <w:b w:val="0"/>
                <w:bCs w:val="0"/>
              </w:rPr>
              <w:t>T</w:t>
            </w:r>
            <w:r>
              <w:rPr>
                <w:rFonts w:ascii="Arial" w:hAnsi="Arial" w:cs="Arial"/>
                <w:b w:val="0"/>
                <w:bCs w:val="0"/>
                <w:vertAlign w:val="subscript"/>
              </w:rPr>
              <w:t>detect,EUTRAN_RedCap</w:t>
            </w:r>
            <w:r>
              <w:rPr>
                <w:rFonts w:hint="default" w:ascii="Arial" w:hAnsi="Arial" w:cs="Arial"/>
                <w:b w:val="0"/>
                <w:bCs w:val="0"/>
                <w:lang w:val="en-US" w:eastAsia="zh-CN"/>
              </w:rPr>
              <w:t>’</w:t>
            </w:r>
          </w:p>
          <w:p>
            <w:pPr>
              <w:pStyle w:val="105"/>
              <w:numPr>
                <w:ilvl w:val="-1"/>
                <w:numId w:val="0"/>
              </w:numPr>
              <w:spacing w:after="0"/>
              <w:ind w:left="0"/>
              <w:rPr>
                <w:rFonts w:hint="default" w:ascii="Arial" w:hAnsi="Arial" w:cs="Arial"/>
                <w:lang w:val="en-US" w:eastAsia="zh-CN"/>
              </w:rPr>
            </w:pPr>
          </w:p>
          <w:p>
            <w:pPr>
              <w:rPr>
                <w:rFonts w:hint="default" w:ascii="Arial" w:hAnsi="Arial" w:cs="Arial" w:eastAsiaTheme="minorEastAsia"/>
                <w:lang w:val="en-US" w:eastAsia="zh-CN"/>
              </w:rPr>
            </w:pPr>
            <w:r>
              <w:rPr>
                <w:rFonts w:ascii="Arial" w:hAnsi="Arial" w:cs="Arial"/>
              </w:rPr>
              <w:t xml:space="preserve">The requirements defined in clause </w:t>
            </w:r>
            <w:r>
              <w:rPr>
                <w:rFonts w:hint="default" w:ascii="Arial" w:hAnsi="Arial" w:cs="Arial"/>
                <w:lang w:val="en-US" w:eastAsia="zh-CN"/>
              </w:rPr>
              <w:t>4.2B.2.9.2</w:t>
            </w:r>
            <w:r>
              <w:rPr>
                <w:rFonts w:ascii="Arial" w:hAnsi="Arial" w:cs="Arial"/>
              </w:rPr>
              <w:t xml:space="preserve"> apply for </w:t>
            </w:r>
            <w:r>
              <w:rPr>
                <w:rFonts w:ascii="Arial" w:hAnsi="Arial" w:cs="Arial"/>
                <w:lang w:val="en-US"/>
              </w:rPr>
              <w:t>4.2B.2.9.8</w:t>
            </w:r>
            <w:r>
              <w:rPr>
                <w:rFonts w:hint="default" w:ascii="Arial" w:hAnsi="Arial" w:cs="Arial"/>
                <w:lang w:val="en-US" w:eastAsia="zh-CN"/>
              </w:rPr>
              <w:t>, other than 4.2.2.9.4.</w:t>
            </w:r>
          </w:p>
          <w:p>
            <w:pPr>
              <w:pStyle w:val="105"/>
              <w:numPr>
                <w:ilvl w:val="0"/>
                <w:numId w:val="0"/>
              </w:numPr>
              <w:spacing w:after="0"/>
              <w:ind w:left="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4.2B.2.5, 4.2B.2.9.8, 4.2B.2.10.2, 4.2B.2.11.2, 4.2B.2.11.3, 4.2B.2.11.9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pPr>
      <w:bookmarkStart w:id="3" w:name="_Hlk166056522"/>
      <w:r>
        <w:t>4.2B.2.5</w:t>
      </w:r>
      <w:r>
        <w:tab/>
      </w:r>
      <w:r>
        <w:t>Measurements of inter-RAT E-UTRAN cells for RedCap UE</w:t>
      </w:r>
    </w:p>
    <w:p>
      <w:r>
        <w:t>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r>
        <w:t>If 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 xml:space="preserve">The requirements in this clause apply to inter-RAT E-UTRAN FDD measurements and E-UTRA TDD measurements. When the measurement rules indicate that </w:t>
      </w:r>
      <w:r>
        <w:rPr>
          <w:lang w:val="en-US"/>
        </w:rPr>
        <w:t>inter-RAT E-UTRAN</w:t>
      </w:r>
      <w:r>
        <w:t xml:space="preserve"> cells are to be measured, the UE shall measure RSRP and RSRQ of detected E-UTRA cells in the neighbour frequency list at the minimum measurement rate specified in this clause.</w:t>
      </w:r>
    </w:p>
    <w:p>
      <w:r>
        <w:rPr>
          <w:rFonts w:cs="v4.2.0"/>
        </w:rPr>
        <w:t>The parameter N</w:t>
      </w:r>
      <w:r>
        <w:rPr>
          <w:rFonts w:cs="v4.2.0"/>
          <w:vertAlign w:val="subscript"/>
        </w:rPr>
        <w:t>EUTRA_carrier_RedCap</w:t>
      </w:r>
      <w:r>
        <w:rPr>
          <w:rFonts w:cs="v4.2.0"/>
        </w:rPr>
        <w:t xml:space="preserve"> is the total number of configured E-UTRA carriers in the neighbour frequency list. </w:t>
      </w:r>
      <w:r>
        <w:t xml:space="preserve">The UE shall filter RSRP and RSRQ measurements of each measured E-UTRA cell using at least 2 measurements. </w:t>
      </w:r>
      <w:r>
        <w:rPr>
          <w:rFonts w:cs="v4.2.0"/>
        </w:rPr>
        <w:t>Within the set of measurements used for the filtering, at least two measurements shall be spaced by at least T</w:t>
      </w:r>
      <w:r>
        <w:rPr>
          <w:rFonts w:cs="v4.2.0"/>
          <w:vertAlign w:val="subscript"/>
        </w:rPr>
        <w:t>measure,EUTRAN_RedCap</w:t>
      </w:r>
      <w:r>
        <w:rPr>
          <w:rFonts w:cs="v4.2.0"/>
        </w:rPr>
        <w:t>/2.</w:t>
      </w:r>
    </w:p>
    <w:p>
      <w:pPr>
        <w:jc w:val="both"/>
        <w:rPr>
          <w:rFonts w:cs="v4.2.0"/>
        </w:rPr>
      </w:pPr>
      <w:r>
        <w:rPr>
          <w:rFonts w:cs="v4.2.0"/>
        </w:rPr>
        <w:t>An inter-RAT E-UTRA cell is considered to be detectable provided the following conditions are fulfilled:</w:t>
      </w:r>
    </w:p>
    <w:p>
      <w:pPr>
        <w:pStyle w:val="99"/>
      </w:pPr>
      <w:r>
        <w:t>-</w:t>
      </w:r>
      <w:r>
        <w:tab/>
      </w:r>
      <w:r>
        <w:t>the same conditions as for inter-frequency RSRP measurements specified in TS 36.133 [15, Annex B.1.2] are fulfilled for a corresponding Band, and</w:t>
      </w:r>
    </w:p>
    <w:p>
      <w:pPr>
        <w:pStyle w:val="99"/>
      </w:pPr>
      <w:r>
        <w:t>-</w:t>
      </w:r>
      <w:r>
        <w:tab/>
      </w:r>
      <w:r>
        <w:t>the same conditions as for inter-frequency RSRQ measurements specified in TS 36.133 [15, Annex B.1.2] are fulfilled for a corresponding Band.</w:t>
      </w:r>
    </w:p>
    <w:p>
      <w:pPr>
        <w:pStyle w:val="99"/>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rPr>
        <w:t xml:space="preserve"> inter-RAT E-UTRAN</w:t>
      </w:r>
      <w:r>
        <w:rPr>
          <w:rFonts w:cs="v4.2.0"/>
        </w:rPr>
        <w:t xml:space="preserve"> cell meets the reselection criteria defined in TS38.304 [1] within </w:t>
      </w:r>
      <w:r>
        <w:t>(N</w:t>
      </w:r>
      <w:r>
        <w:rPr>
          <w:vertAlign w:val="subscript"/>
        </w:rPr>
        <w:t>EUTRA_carrier_RedCap</w:t>
      </w:r>
      <w:r>
        <w:t>)</w:t>
      </w:r>
      <w:r>
        <w:rPr>
          <w:rFonts w:cs="v4.2.0"/>
        </w:rPr>
        <w:t xml:space="preserve"> * </w:t>
      </w:r>
      <w:r>
        <w:t>T</w:t>
      </w:r>
      <w:r>
        <w:rPr>
          <w:vertAlign w:val="subscript"/>
        </w:rPr>
        <w:t>detect,EUTRAN_RedCap</w:t>
      </w:r>
      <w:r>
        <w:rPr>
          <w:rFonts w:cs="v4.2.0"/>
        </w:rPr>
        <w:t xml:space="preserve"> </w:t>
      </w:r>
      <w:r>
        <w:t>when S</w:t>
      </w:r>
      <w:r>
        <w:rPr>
          <w:vertAlign w:val="subscript"/>
        </w:rPr>
        <w:t>rxlev</w:t>
      </w:r>
      <w:r>
        <w:t xml:space="preserve">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pPr>
        <w:jc w:val="both"/>
        <w:rPr>
          <w:rFonts w:cs="v4.2.0"/>
        </w:rPr>
      </w:pPr>
      <w:r>
        <w:rPr>
          <w:rFonts w:cs="v4.2.0"/>
        </w:rPr>
        <w:t>Cells which have been detected shall be measured at least every (N</w:t>
      </w:r>
      <w:r>
        <w:rPr>
          <w:rFonts w:cs="v4.2.0"/>
          <w:vertAlign w:val="subscript"/>
        </w:rPr>
        <w:t>EUTRA_carrier_RedCap</w:t>
      </w:r>
      <w:r>
        <w:rPr>
          <w:rFonts w:cs="v4.2.0"/>
        </w:rPr>
        <w:t>) * T</w:t>
      </w:r>
      <w:r>
        <w:rPr>
          <w:rFonts w:cs="v4.2.0"/>
          <w:vertAlign w:val="subscript"/>
        </w:rPr>
        <w:t>measure,EUTRAN_RedCap</w:t>
      </w:r>
      <w:r>
        <w:rPr>
          <w:rFonts w:cs="v4.2.0"/>
        </w:rPr>
        <w:t xml:space="preserve"> when </w:t>
      </w:r>
      <w:r>
        <w:t>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measure,EUTRAN_RedCap</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rPr>
        <w:t xml:space="preserve">inter-RAT </w:t>
      </w:r>
      <w:r>
        <w:t>E-UTRA cell in cell reselection, if it is indicated as not allowed in the measurement control system information of the serving cell.</w:t>
      </w:r>
    </w:p>
    <w:p>
      <w:pPr>
        <w:rPr>
          <w:rFonts w:cs="v4.2.0"/>
        </w:rPr>
      </w:pPr>
      <w:r>
        <w:rPr>
          <w:rFonts w:cs="v4.2.0"/>
        </w:rPr>
        <w:t>For a cell that has been already detected, but has not been reselected to, the filtering shall be such that the UE shall be capable of evaluating that an already identified inter-RAT E-UTRA cell has met reselection criterion defined in TS 38.304 [1] within (N</w:t>
      </w:r>
      <w:r>
        <w:rPr>
          <w:rFonts w:cs="v4.2.0"/>
          <w:vertAlign w:val="subscript"/>
        </w:rPr>
        <w:t>EUTRA_carrier_RedCap</w:t>
      </w:r>
      <w:r>
        <w:rPr>
          <w:rFonts w:cs="v4.2.0"/>
        </w:rPr>
        <w:t>) * T</w:t>
      </w:r>
      <w:r>
        <w:rPr>
          <w:rFonts w:cs="v4.2.0"/>
          <w:vertAlign w:val="subscript"/>
        </w:rPr>
        <w:t>evaluate,EUTRAN_RedCap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the </w:t>
      </w:r>
      <w:r>
        <w:rPr>
          <w:rFonts w:cs="v4.2.0"/>
        </w:rPr>
        <w:t>inter-RAT E-UTRA</w:t>
      </w:r>
      <w:r>
        <w:rPr>
          <w:rFonts w:cs="v3.7.0"/>
        </w:rPr>
        <w:t xml:space="preserve"> cell satisfies with the reselection criteria defined in </w:t>
      </w:r>
      <w:r>
        <w:t>TS 38.304</w:t>
      </w:r>
      <w:r>
        <w:rPr>
          <w:rFonts w:cs="v4.2.0"/>
        </w:rPr>
        <w:t> </w:t>
      </w:r>
      <w:r>
        <w:rPr>
          <w:rFonts w:cs="v3.7.0"/>
        </w:rPr>
        <w:t xml:space="preserve">[1], the UE shall evaluate this 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pPr>
        <w:rPr>
          <w:rFonts w:cs="v4.2.0"/>
        </w:rPr>
      </w:pPr>
      <w:r>
        <w:rPr>
          <w:rFonts w:cs="v4.2.0"/>
        </w:rPr>
        <w:t xml:space="preserve">For 1 Rx RedCap and 2 Rx RedCap not configured with eDRX_IDLE cycle, </w:t>
      </w:r>
      <w:r>
        <w:t>T</w:t>
      </w:r>
      <w:r>
        <w:rPr>
          <w:vertAlign w:val="subscript"/>
        </w:rPr>
        <w:t>detect,EUTRAN_RedCap,</w:t>
      </w:r>
      <w:r>
        <w:t xml:space="preserve"> T</w:t>
      </w:r>
      <w:r>
        <w:rPr>
          <w:vertAlign w:val="subscript"/>
        </w:rPr>
        <w:t xml:space="preserve">measure,EUTRAN_RedCap </w:t>
      </w:r>
      <w:r>
        <w:t>and T</w:t>
      </w:r>
      <w:r>
        <w:rPr>
          <w:vertAlign w:val="subscript"/>
        </w:rPr>
        <w:t xml:space="preserve">evaluate, E-UTRAN_RedCap </w:t>
      </w:r>
      <w:r>
        <w:rPr>
          <w:rFonts w:cs="v4.2.0"/>
        </w:rPr>
        <w:t xml:space="preserve">are specified in </w:t>
      </w:r>
      <w:r>
        <w:rPr>
          <w:snapToGrid w:val="0"/>
        </w:rPr>
        <w:t>Table 4.2B.2.5-1</w:t>
      </w:r>
      <w:r>
        <w:rPr>
          <w:rFonts w:cs="v4.2.0"/>
        </w:rPr>
        <w:t xml:space="preserve">. </w:t>
      </w:r>
    </w:p>
    <w:p>
      <w:pPr>
        <w:rPr>
          <w:rFonts w:cs="v4.2.0"/>
        </w:rPr>
      </w:pPr>
      <w:r>
        <w:rPr>
          <w:rFonts w:cs="v4.2.0"/>
        </w:rPr>
        <w:t xml:space="preserve">For 1 Rx RedCap and 2 Rx RedCap configured with eDRX_IDLE cycle, </w:t>
      </w:r>
      <w:r>
        <w:t>T</w:t>
      </w:r>
      <w:r>
        <w:rPr>
          <w:vertAlign w:val="subscript"/>
        </w:rPr>
        <w:t>detect,EUTRAN_RedCap,</w:t>
      </w:r>
      <w:r>
        <w:t xml:space="preserve"> T</w:t>
      </w:r>
      <w:r>
        <w:rPr>
          <w:vertAlign w:val="subscript"/>
        </w:rPr>
        <w:t xml:space="preserve">measure,EUTRAN_RedCap </w:t>
      </w:r>
      <w:r>
        <w:t>and T</w:t>
      </w:r>
      <w:r>
        <w:rPr>
          <w:vertAlign w:val="subscript"/>
        </w:rPr>
        <w:t>evaluate, E-UTRAN_RedCap</w:t>
      </w:r>
      <w:r>
        <w:rPr>
          <w:rFonts w:cs="v4.2.0"/>
        </w:rPr>
        <w:t xml:space="preserve"> are specified in </w:t>
      </w:r>
      <w:r>
        <w:rPr>
          <w:snapToGrid w:val="0"/>
        </w:rPr>
        <w:t>Table 4.2B.2.5-2</w:t>
      </w:r>
      <w:r>
        <w:rPr>
          <w:rFonts w:cs="v4.2.0"/>
        </w:rPr>
        <w:t xml:space="preserve">, where the requirements apply provided that the serving cell is configured with eDRX_IDLE and the DRX cycle length is the same in all PTWs during any of </w:t>
      </w:r>
      <w:r>
        <w:t>T</w:t>
      </w:r>
      <w:r>
        <w:rPr>
          <w:vertAlign w:val="subscript"/>
        </w:rPr>
        <w:t>detect,EUTRAN_RedCap,</w:t>
      </w:r>
      <w:r>
        <w:t xml:space="preserve"> T</w:t>
      </w:r>
      <w:r>
        <w:rPr>
          <w:vertAlign w:val="subscript"/>
        </w:rPr>
        <w:t xml:space="preserve">measure,EUTRAN_RedCap </w:t>
      </w:r>
      <w:r>
        <w:t>and T</w:t>
      </w:r>
      <w:r>
        <w:rPr>
          <w:vertAlign w:val="subscript"/>
        </w:rPr>
        <w:t>evaluate, E-UTRAN_RedCap</w:t>
      </w:r>
      <w:r>
        <w:t xml:space="preserve"> when multiple PTWs are used.</w:t>
      </w:r>
    </w:p>
    <w:p>
      <w:pPr>
        <w:pStyle w:val="79"/>
        <w:rPr>
          <w:rFonts w:cs="v4.2.0"/>
          <w:vertAlign w:val="subscript"/>
        </w:rPr>
      </w:pPr>
      <w:r>
        <w:rPr>
          <w:snapToGrid w:val="0"/>
        </w:rPr>
        <w:t xml:space="preserve">Table 4.2B.2.5-1: </w:t>
      </w:r>
      <w:r>
        <w:t>T</w:t>
      </w:r>
      <w:r>
        <w:rPr>
          <w:vertAlign w:val="subscript"/>
        </w:rPr>
        <w:t>detect,EUTRAN_RedCap</w:t>
      </w:r>
      <w:r>
        <w:rPr>
          <w:snapToGrid w:val="0"/>
        </w:rPr>
        <w:t xml:space="preserve">, </w:t>
      </w:r>
      <w:r>
        <w:t>T</w:t>
      </w:r>
      <w:r>
        <w:rPr>
          <w:vertAlign w:val="subscript"/>
        </w:rPr>
        <w:t>measure,EUTRAN_RedCap,</w:t>
      </w:r>
      <w:r>
        <w:t xml:space="preserve"> and </w:t>
      </w:r>
      <w:r>
        <w:rPr>
          <w:rFonts w:cs="v4.2.0"/>
        </w:rPr>
        <w:t>T</w:t>
      </w:r>
      <w:r>
        <w:rPr>
          <w:rFonts w:cs="v4.2.0"/>
          <w:vertAlign w:val="subscript"/>
        </w:rPr>
        <w:t>evaluate,EUTRAN</w:t>
      </w:r>
      <w:r>
        <w:rPr>
          <w:vertAlign w:val="subscript"/>
        </w:rPr>
        <w:t>_RedCap</w:t>
      </w:r>
    </w:p>
    <w:tbl>
      <w:tblPr>
        <w:tblStyle w:val="59"/>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686"/>
        <w:gridCol w:w="1822"/>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75"/>
              <w:rPr>
                <w:rFonts w:cs="Arial"/>
              </w:rPr>
            </w:pPr>
            <w:r>
              <w:t>T</w:t>
            </w:r>
            <w:r>
              <w:rPr>
                <w:vertAlign w:val="subscript"/>
              </w:rPr>
              <w:t>detect,EUTRAN</w:t>
            </w:r>
            <w:ins w:id="0" w:author="Wu Yan (ZTE)" w:date="2024-10-31T14:55:16Z">
              <w:r>
                <w:rPr>
                  <w:vertAlign w:val="subscript"/>
                </w:rPr>
                <w:t>_RedCap</w:t>
              </w:r>
            </w:ins>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T</w:t>
            </w:r>
            <w:r>
              <w:rPr>
                <w:vertAlign w:val="subscript"/>
              </w:rPr>
              <w:t>measure,EUTRAN</w:t>
            </w:r>
            <w:ins w:id="1" w:author="Wu Yan (ZTE)" w:date="2024-10-31T14:55:19Z">
              <w:r>
                <w:rPr>
                  <w:vertAlign w:val="subscript"/>
                </w:rPr>
                <w:t>_RedCap</w:t>
              </w:r>
            </w:ins>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75"/>
              <w:rPr>
                <w:rFonts w:cs="Arial"/>
                <w:vertAlign w:val="subscript"/>
              </w:rPr>
            </w:pPr>
            <w:r>
              <w:t>T</w:t>
            </w:r>
            <w:r>
              <w:rPr>
                <w:vertAlign w:val="subscript"/>
              </w:rPr>
              <w:t>evaluate,EUTRAN</w:t>
            </w:r>
            <w:ins w:id="2" w:author="Wu Yan (ZTE)" w:date="2024-10-31T14:55:22Z">
              <w:r>
                <w:rPr>
                  <w:vertAlign w:val="subscript"/>
                </w:rPr>
                <w:t>_RedCap</w:t>
              </w:r>
            </w:ins>
          </w:p>
          <w:p>
            <w:pPr>
              <w:pStyle w:val="75"/>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76"/>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76"/>
              <w:rPr>
                <w:snapToGrid w:val="0"/>
              </w:rPr>
            </w:pPr>
            <w:r>
              <w:t>7.68 (3)</w:t>
            </w:r>
          </w:p>
        </w:tc>
      </w:tr>
      <w:bookmarkEnd w:id="3"/>
    </w:tbl>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4.2B.2.9.8</w:t>
      </w:r>
      <w:r>
        <w:rPr>
          <w:lang w:val="en-US"/>
        </w:rPr>
        <w:tab/>
      </w:r>
      <w:r>
        <w:rPr>
          <w:lang w:val="en-US"/>
        </w:rPr>
        <w:t>Measurements for a UE fulfilling low mobility, not-at-cell edge and stationary criterion</w:t>
      </w:r>
    </w:p>
    <w:p>
      <w:r>
        <w:rPr>
          <w:lang w:val="en-US"/>
        </w:rPr>
        <w:t xml:space="preserve">This clause contains requirements </w:t>
      </w:r>
      <w:r>
        <w:t>for measurements on intra-frequency NR cells provided that:</w:t>
      </w:r>
    </w:p>
    <w:p>
      <w:pPr>
        <w:pStyle w:val="99"/>
      </w:pPr>
      <w:r>
        <w:t>-</w:t>
      </w:r>
      <w:r>
        <w:tab/>
      </w:r>
      <w:r>
        <w:t xml:space="preserve">UE is configured with both </w:t>
      </w:r>
      <w:r>
        <w:rPr>
          <w:i/>
          <w:iCs/>
        </w:rPr>
        <w:t xml:space="preserve">lowMobilityEvaluation </w:t>
      </w:r>
      <w:r>
        <w:t xml:space="preserve">[2] criterion and </w:t>
      </w:r>
      <w:r>
        <w:rPr>
          <w:i/>
          <w:iCs/>
        </w:rPr>
        <w:t xml:space="preserve">cellEdgeEvaluation </w:t>
      </w:r>
      <w:r>
        <w:t>[2] criterion, and has fulfilled both criteria, and</w:t>
      </w:r>
    </w:p>
    <w:p>
      <w:pPr>
        <w:pStyle w:val="99"/>
      </w:pPr>
      <w:r>
        <w:rPr>
          <w:lang w:eastAsia="zh-CN"/>
        </w:rPr>
        <w:t>-</w:t>
      </w:r>
      <w:r>
        <w:rPr>
          <w:lang w:eastAsia="zh-CN"/>
        </w:rPr>
        <w:tab/>
      </w:r>
      <w:r>
        <w:rPr>
          <w:lang w:eastAsia="zh-CN"/>
        </w:rPr>
        <w:t xml:space="preserve">UE is configured with </w:t>
      </w:r>
      <w:r>
        <w:rPr>
          <w:i/>
          <w:iCs/>
          <w:lang w:eastAsia="zh-CN"/>
        </w:rPr>
        <w:t xml:space="preserve">stationaryMobilityEvaluation </w:t>
      </w:r>
      <w:r>
        <w:rPr>
          <w:lang w:eastAsia="zh-CN"/>
        </w:rPr>
        <w:t xml:space="preserve">[2] criterion and has also fulfilled that criterion, or UE is configured with both </w:t>
      </w:r>
      <w:r>
        <w:rPr>
          <w:i/>
          <w:lang w:eastAsia="zh-CN"/>
        </w:rPr>
        <w:t xml:space="preserve">stationaryMobilityEvaluation </w:t>
      </w:r>
      <w:r>
        <w:rPr>
          <w:lang w:eastAsia="zh-CN"/>
        </w:rPr>
        <w:t xml:space="preserve">[2] criterion and </w:t>
      </w:r>
      <w:r>
        <w:rPr>
          <w:i/>
          <w:lang w:eastAsia="zh-CN"/>
        </w:rPr>
        <w:t xml:space="preserve">cellEdgeEvaluationWhileStationary </w:t>
      </w:r>
      <w:r>
        <w:rPr>
          <w:lang w:eastAsia="zh-CN"/>
        </w:rPr>
        <w:t xml:space="preserve">[2] criterion and </w:t>
      </w:r>
      <w:r>
        <w:rPr>
          <w:i/>
          <w:lang w:eastAsia="zh-CN"/>
        </w:rPr>
        <w:t xml:space="preserve">combineRelaxedMeasCondition2 </w:t>
      </w:r>
      <w:r>
        <w:rPr>
          <w:lang w:eastAsia="zh-CN"/>
        </w:rPr>
        <w:t xml:space="preserve">[2] is not configured, and UE has fulfilled </w:t>
      </w:r>
      <w:r>
        <w:rPr>
          <w:i/>
          <w:lang w:eastAsia="zh-CN"/>
        </w:rPr>
        <w:t xml:space="preserve">stationaryMobilityEvaluation </w:t>
      </w:r>
      <w:r>
        <w:rPr>
          <w:lang w:eastAsia="zh-CN"/>
        </w:rPr>
        <w:t>[2] criteria</w:t>
      </w:r>
    </w:p>
    <w:p>
      <w:r>
        <w:t xml:space="preserve">The requirements defined in clause </w:t>
      </w:r>
      <w:ins w:id="3" w:author="Wu Yan (ZTE)" w:date="2024-10-31T14:56:29Z">
        <w:r>
          <w:rPr>
            <w:rFonts w:hint="eastAsia"/>
            <w:lang w:val="en-US" w:eastAsia="zh-CN"/>
          </w:rPr>
          <w:t>4.</w:t>
        </w:r>
      </w:ins>
      <w:ins w:id="4" w:author="Wu Yan (ZTE)" w:date="2024-10-31T14:56:30Z">
        <w:r>
          <w:rPr>
            <w:rFonts w:hint="eastAsia"/>
            <w:lang w:val="en-US" w:eastAsia="zh-CN"/>
          </w:rPr>
          <w:t>2</w:t>
        </w:r>
      </w:ins>
      <w:ins w:id="5" w:author="Wu Yan (ZTE)" w:date="2024-10-31T14:56:32Z">
        <w:r>
          <w:rPr>
            <w:rFonts w:hint="eastAsia"/>
            <w:lang w:val="en-US" w:eastAsia="zh-CN"/>
          </w:rPr>
          <w:t>B.</w:t>
        </w:r>
      </w:ins>
      <w:ins w:id="6" w:author="Wu Yan (ZTE)" w:date="2024-10-31T14:56:33Z">
        <w:r>
          <w:rPr>
            <w:rFonts w:hint="eastAsia"/>
            <w:lang w:val="en-US" w:eastAsia="zh-CN"/>
          </w:rPr>
          <w:t>2.9</w:t>
        </w:r>
      </w:ins>
      <w:ins w:id="7" w:author="Wu Yan (ZTE)" w:date="2024-10-31T14:56:34Z">
        <w:r>
          <w:rPr>
            <w:rFonts w:hint="eastAsia"/>
            <w:lang w:val="en-US" w:eastAsia="zh-CN"/>
          </w:rPr>
          <w:t>.2</w:t>
        </w:r>
      </w:ins>
      <w:del w:id="8" w:author="Wu Yan (ZTE)" w:date="2024-10-31T14:56:27Z">
        <w:r>
          <w:rPr/>
          <w:delText>4.2.2.9.4</w:delText>
        </w:r>
      </w:del>
      <w:r>
        <w:t xml:space="preserve"> apply for this clause.</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4.2B.2.10.2</w:t>
      </w:r>
      <w:r>
        <w:rPr>
          <w:lang w:val="en-US"/>
        </w:rPr>
        <w:tab/>
      </w:r>
      <w:r>
        <w:rPr>
          <w:lang w:val="en-US"/>
        </w:rPr>
        <w:t>Measurements for UE fulfilling stationary criterion</w:t>
      </w:r>
    </w:p>
    <w:p>
      <w:r>
        <w:rPr>
          <w:lang w:val="en-US"/>
        </w:rPr>
        <w:t xml:space="preserve">This clause contains requirements </w:t>
      </w:r>
      <w:r>
        <w:t>for measurements on inter-frequency NR cells provided that:</w:t>
      </w:r>
    </w:p>
    <w:p>
      <w:pPr>
        <w:pStyle w:val="99"/>
      </w:pPr>
      <w:r>
        <w:rPr>
          <w:lang w:eastAsia="zh-CN"/>
        </w:rPr>
        <w:t>-</w:t>
      </w:r>
      <w:r>
        <w:tab/>
      </w:r>
      <w:r>
        <w:t xml:space="preserve">UE is configured with </w:t>
      </w:r>
      <w:r>
        <w:rPr>
          <w:i/>
          <w:iCs/>
        </w:rPr>
        <w:t xml:space="preserve">stationaryMobilityEvaluation </w:t>
      </w:r>
      <w:r>
        <w:t xml:space="preserve">[2] criterion and UE is not configured with </w:t>
      </w:r>
      <w:r>
        <w:rPr>
          <w:i/>
        </w:rPr>
        <w:t xml:space="preserve">cellEdgeEvaluationWhileStationary </w:t>
      </w:r>
      <w:r>
        <w:t xml:space="preserve">[2] criterion and UE has fulfilled the </w:t>
      </w:r>
      <w:r>
        <w:rPr>
          <w:i/>
          <w:iCs/>
        </w:rPr>
        <w:t xml:space="preserve">stationaryMobilityEvaluation </w:t>
      </w:r>
      <w:r>
        <w:t xml:space="preserve">[2] criterion, or </w:t>
      </w:r>
    </w:p>
    <w:p>
      <w:pPr>
        <w:pStyle w:val="99"/>
      </w:pPr>
      <w:r>
        <w:t>-</w:t>
      </w:r>
      <w:r>
        <w:tab/>
      </w:r>
      <w:r>
        <w:t xml:space="preserve">UE is configured with both </w:t>
      </w:r>
      <w:r>
        <w:rPr>
          <w:i/>
        </w:rPr>
        <w:t xml:space="preserve">stationaryMobilityEvaluation </w:t>
      </w:r>
      <w:r>
        <w:t xml:space="preserve">[2] criterion and </w:t>
      </w:r>
      <w:r>
        <w:rPr>
          <w:i/>
        </w:rPr>
        <w:t xml:space="preserve">cellEdgeEvaluationWhileStationary </w:t>
      </w:r>
      <w:r>
        <w:t xml:space="preserve">[2] criterion and </w:t>
      </w:r>
      <w:r>
        <w:rPr>
          <w:i/>
        </w:rPr>
        <w:t xml:space="preserve">combineRelaxedMeasCondition2 </w:t>
      </w:r>
      <w:r>
        <w:t xml:space="preserve">[2] is not configured, and UE has fulfilled only the </w:t>
      </w:r>
      <w:r>
        <w:rPr>
          <w:i/>
        </w:rPr>
        <w:t xml:space="preserve">stationaryMobilityEvaluation </w:t>
      </w:r>
      <w:r>
        <w:t>[2] criterion.</w:t>
      </w:r>
    </w:p>
    <w:p>
      <w:r>
        <w:rPr>
          <w:rFonts w:hint="eastAsia"/>
        </w:rPr>
        <w:t>W</w:t>
      </w:r>
      <w:r>
        <w:t xml:space="preserve">hen </w:t>
      </w:r>
      <w:r>
        <w:rPr>
          <w:rFonts w:eastAsiaTheme="minorEastAsia"/>
        </w:rPr>
        <w:t xml:space="preserve">Srxlev </w:t>
      </w:r>
      <w:r>
        <w:t>≤</w:t>
      </w:r>
      <w:r>
        <w:rPr>
          <w:rFonts w:eastAsiaTheme="minorEastAsia"/>
        </w:rPr>
        <w:t xml:space="preserve"> S</w:t>
      </w:r>
      <w:r>
        <w:rPr>
          <w:rFonts w:eastAsiaTheme="minorEastAsia"/>
          <w:vertAlign w:val="subscript"/>
        </w:rPr>
        <w:t>nonIntraSearchP</w:t>
      </w:r>
      <w:r>
        <w:rPr>
          <w:rFonts w:eastAsiaTheme="minorEastAsia"/>
        </w:rPr>
        <w:t xml:space="preserve"> or S</w:t>
      </w:r>
      <w:r>
        <w:rPr>
          <w:rFonts w:eastAsiaTheme="minorEastAsia"/>
          <w:vertAlign w:val="subscript"/>
        </w:rPr>
        <w:t>qual</w:t>
      </w:r>
      <w:r>
        <w:rPr>
          <w:rFonts w:eastAsiaTheme="minorEastAsia"/>
        </w:rPr>
        <w:t xml:space="preserve"> </w:t>
      </w:r>
      <w:r>
        <w:t>≤</w:t>
      </w:r>
      <w:r>
        <w:rPr>
          <w:rFonts w:eastAsiaTheme="minorEastAsia"/>
        </w:rPr>
        <w:t xml:space="preserve"> S</w:t>
      </w:r>
      <w:r>
        <w:rPr>
          <w:rFonts w:eastAsiaTheme="minorEastAsia"/>
          <w:vertAlign w:val="subscript"/>
        </w:rPr>
        <w:t>nonIntraSearchQ</w:t>
      </w:r>
      <w:r>
        <w:rPr>
          <w:rFonts w:eastAsiaTheme="minorEastAsia"/>
        </w:rPr>
        <w:t xml:space="preserve"> </w:t>
      </w:r>
      <w:r>
        <w:rPr>
          <w:rFonts w:hint="eastAsia" w:eastAsiaTheme="minorEastAsia"/>
        </w:rPr>
        <w:t>then t</w:t>
      </w:r>
      <w:r>
        <w:rPr>
          <w:rFonts w:eastAsiaTheme="minorEastAsia"/>
        </w:rPr>
        <w:t>h</w:t>
      </w:r>
      <w:r>
        <w:t>e requirements defined in clause 4.2B.2.4 apply for this clause except that:</w:t>
      </w:r>
    </w:p>
    <w:p>
      <w:pPr>
        <w:pStyle w:val="99"/>
      </w:pPr>
      <w:r>
        <w:t>-</w:t>
      </w:r>
      <w:r>
        <w:tab/>
      </w:r>
      <w:r>
        <w:t>For a UE not configured with eDRX_IDLE, T</w:t>
      </w:r>
      <w:r>
        <w:rPr>
          <w:vertAlign w:val="subscript"/>
        </w:rPr>
        <w:t>detect,NR_Inter_RedCap_Relax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evaluate,NR_Inter</w:t>
      </w:r>
      <w:r>
        <w:rPr>
          <w:vertAlign w:val="subscript"/>
        </w:rPr>
        <w:t>_RedCap_Relax</w:t>
      </w:r>
      <w:r>
        <w:rPr>
          <w:rFonts w:cs="v4.2.0"/>
        </w:rPr>
        <w:t xml:space="preserve"> are </w:t>
      </w:r>
      <w:r>
        <w:t xml:space="preserve">as specified in </w:t>
      </w:r>
      <w:r>
        <w:rPr>
          <w:lang w:val="en-US"/>
        </w:rPr>
        <w:t>Table 4.2B.2.10.2-1 and Table 4.2B.2.10.2-2 for 1 Rx RedCap  and 2 Rx RedCap respectively</w:t>
      </w:r>
      <w:r>
        <w:t>.</w:t>
      </w:r>
    </w:p>
    <w:p>
      <w:pPr>
        <w:pStyle w:val="99"/>
      </w:pPr>
      <w:r>
        <w:t>-</w:t>
      </w:r>
      <w:r>
        <w:tab/>
      </w:r>
      <w:r>
        <w:t>For a UE configured with eDRX_IDLE up-to 10.24s, T</w:t>
      </w:r>
      <w:r>
        <w:rPr>
          <w:vertAlign w:val="subscript"/>
        </w:rPr>
        <w:t>detect,NR_Inter_RedCap_Relax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evaluate,NR_Inter</w:t>
      </w:r>
      <w:r>
        <w:rPr>
          <w:vertAlign w:val="subscript"/>
        </w:rPr>
        <w:t>_RedCap_Relax</w:t>
      </w:r>
      <w:r>
        <w:rPr>
          <w:rFonts w:cs="v4.2.0"/>
        </w:rPr>
        <w:t xml:space="preserve"> are </w:t>
      </w:r>
      <w:r>
        <w:t xml:space="preserve">as specified in </w:t>
      </w:r>
      <w:r>
        <w:rPr>
          <w:lang w:val="en-US"/>
        </w:rPr>
        <w:t>Table 4.2B.2.10.2-3 and Table 4.2B.2.10.2-4 for 1 Rx RedCap  and 2 Rx RedCap respectively</w:t>
      </w:r>
      <w:r>
        <w:t>.</w:t>
      </w:r>
    </w:p>
    <w:p>
      <w:pPr>
        <w:pStyle w:val="99"/>
      </w:pPr>
      <w:r>
        <w:t>-</w:t>
      </w:r>
      <w:r>
        <w:tab/>
      </w:r>
      <w:r>
        <w:t>For a UE configured with eDRX_IDLE greater than 10.24s, T</w:t>
      </w:r>
      <w:r>
        <w:rPr>
          <w:vertAlign w:val="subscript"/>
        </w:rPr>
        <w:t>detect,NR_Inter_RedCap_Relax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evaluate,NR_Inter</w:t>
      </w:r>
      <w:r>
        <w:rPr>
          <w:vertAlign w:val="subscript"/>
        </w:rPr>
        <w:t>_RedCap_Relax</w:t>
      </w:r>
      <w:r>
        <w:rPr>
          <w:rFonts w:cs="v4.2.0"/>
        </w:rPr>
        <w:t xml:space="preserve"> are </w:t>
      </w:r>
      <w:r>
        <w:t xml:space="preserve">as specified in </w:t>
      </w:r>
      <w:r>
        <w:rPr>
          <w:lang w:val="en-US"/>
        </w:rPr>
        <w:t xml:space="preserve">Table 4.2B.2.10.2-5 and Table 4.2B.2.10.2-6 for 1 Rx RedCap and 2 Rx RedCap respectively, </w:t>
      </w:r>
      <w:r>
        <w:t xml:space="preserve">provided eDRX_IDLE cycle is </w:t>
      </w:r>
      <w:r>
        <w:rPr>
          <w:rFonts w:hint="eastAsia"/>
        </w:rPr>
        <w:t>≤</w:t>
      </w:r>
      <w:r>
        <w:t xml:space="preserve"> [163.84] sec and evaluation/measurement time with relaxation on one carrier is not greater than single PTW window length.</w:t>
      </w:r>
    </w:p>
    <w:p>
      <w:r>
        <w:t>When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rPr>
        <w:t>K2 = 240</w:t>
      </w:r>
      <w:r>
        <w:t>.</w:t>
      </w:r>
    </w:p>
    <w:p>
      <w:pPr>
        <w:pStyle w:val="79"/>
        <w:rPr>
          <w:vertAlign w:val="subscript"/>
        </w:rPr>
      </w:pPr>
      <w:r>
        <w:t>Table 4.2B.2.10.2-1: T</w:t>
      </w:r>
      <w:r>
        <w:rPr>
          <w:vertAlign w:val="subscript"/>
        </w:rPr>
        <w:t>detect,NR_Inter_RedCap_Relax,</w:t>
      </w:r>
      <w:r>
        <w:t xml:space="preserve"> T</w:t>
      </w:r>
      <w:r>
        <w:rPr>
          <w:vertAlign w:val="subscript"/>
        </w:rPr>
        <w:t>measure,NR_Inter_RedCap_Relax</w:t>
      </w:r>
      <w:r>
        <w:t xml:space="preserve"> and T</w:t>
      </w:r>
      <w:r>
        <w:rPr>
          <w:vertAlign w:val="subscript"/>
        </w:rPr>
        <w:t>evaluate,NR_Inter_RedCap_Relax</w:t>
      </w:r>
      <w:r>
        <w:t xml:space="preserve"> for 1 Rx RedCap UE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2818"/>
        <w:gridCol w:w="2953"/>
        <w:gridCol w:w="2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5"/>
            </w:pPr>
            <w:r>
              <w:t>DRX cycle length [s]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r>
              <w:rPr>
                <w:vertAlign w:val="subscript"/>
              </w:rPr>
              <w:t>_RedCap_Relax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r>
              <w:rPr>
                <w:vertAlign w:val="subscript"/>
              </w:rPr>
              <w:t>_RedCap_Relax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r>
              <w:rPr>
                <w:vertAlign w:val="subscript"/>
              </w:rPr>
              <w:t>_RedCap_Relax</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0.32</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11.52 x </w:t>
            </w:r>
            <w:r>
              <w:rPr>
                <w:rFonts w:cs="Arial"/>
                <w:lang w:val="sv-SE"/>
              </w:rPr>
              <w:t>1.5 x K3</w:t>
            </w:r>
            <w:r>
              <w:rPr>
                <w:lang w:val="sv-SE"/>
              </w:rPr>
              <w:t xml:space="preserve">(36 x </w:t>
            </w:r>
            <w:r>
              <w:rPr>
                <w:rFonts w:cs="Arial"/>
                <w:lang w:val="sv-SE"/>
              </w:rPr>
              <w:t>1.5 x 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 x </w:t>
            </w:r>
            <w:r>
              <w:rPr>
                <w:rFonts w:cs="Arial"/>
                <w:lang w:val="sv-SE"/>
              </w:rPr>
              <w:t xml:space="preserve">1.5 x K3 </w:t>
            </w:r>
            <w:r>
              <w:rPr>
                <w:lang w:val="sv-SE"/>
              </w:rPr>
              <w:t xml:space="preserve">(4 x </w:t>
            </w:r>
            <w:r>
              <w:rPr>
                <w:rFonts w:cs="Arial"/>
                <w:lang w:val="sv-SE"/>
              </w:rPr>
              <w:t>1.5 x 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5.12 x </w:t>
            </w:r>
            <w:r>
              <w:rPr>
                <w:rFonts w:cs="Arial"/>
                <w:lang w:val="sv-SE"/>
              </w:rPr>
              <w:t xml:space="preserve">1.5 x K3 </w:t>
            </w:r>
            <w:r>
              <w:rPr>
                <w:lang w:val="sv-SE"/>
              </w:rPr>
              <w:t xml:space="preserve">(16 x </w:t>
            </w:r>
            <w:r>
              <w:rPr>
                <w:rFonts w:cs="Arial"/>
                <w:lang w:val="sv-SE"/>
              </w:rPr>
              <w:t>1.5 x 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0.64</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17.92 x </w:t>
            </w:r>
            <w:r>
              <w:rPr>
                <w:rFonts w:cs="Arial"/>
                <w:lang w:val="sv-SE"/>
              </w:rPr>
              <w:t>K3</w:t>
            </w:r>
            <w:r>
              <w:rPr>
                <w:lang w:val="sv-SE"/>
              </w:rPr>
              <w:t xml:space="preserve"> (28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1.28x </w:t>
            </w:r>
            <w:r>
              <w:rPr>
                <w:rFonts w:cs="Arial"/>
                <w:lang w:val="sv-SE"/>
              </w:rPr>
              <w:t>K3</w:t>
            </w:r>
            <w:r>
              <w:rPr>
                <w:lang w:val="sv-SE"/>
              </w:rPr>
              <w:t xml:space="preserve"> (2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5.12 x </w:t>
            </w:r>
            <w:r>
              <w:rPr>
                <w:rFonts w:cs="Arial"/>
                <w:lang w:val="sv-SE"/>
              </w:rPr>
              <w:t>K3</w:t>
            </w:r>
            <w:r>
              <w:rPr>
                <w:lang w:val="sv-SE"/>
              </w:rPr>
              <w:t xml:space="preserve"> (8 x </w:t>
            </w:r>
            <w:r>
              <w:rPr>
                <w:rFonts w:cs="Arial"/>
                <w:lang w:val="sv-SE"/>
              </w:rPr>
              <w:t>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1.28</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32 x </w:t>
            </w:r>
            <w:r>
              <w:rPr>
                <w:rFonts w:cs="Arial"/>
                <w:lang w:val="sv-SE"/>
              </w:rPr>
              <w:t>K3</w:t>
            </w:r>
            <w:r>
              <w:rPr>
                <w:lang w:val="sv-SE"/>
              </w:rPr>
              <w:t xml:space="preserve"> (25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1.28x </w:t>
            </w:r>
            <w:r>
              <w:rPr>
                <w:rFonts w:cs="Arial"/>
                <w:lang w:val="sv-SE"/>
              </w:rPr>
              <w:t>K3</w:t>
            </w:r>
            <w:r>
              <w:rPr>
                <w:lang w:val="sv-SE"/>
              </w:rPr>
              <w:t xml:space="preserve"> (1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6.4 x </w:t>
            </w:r>
            <w:r>
              <w:rPr>
                <w:rFonts w:cs="Arial"/>
                <w:lang w:val="sv-SE"/>
              </w:rPr>
              <w:t>K3</w:t>
            </w:r>
            <w:r>
              <w:rPr>
                <w:lang w:val="sv-SE"/>
              </w:rPr>
              <w:t xml:space="preserve"> (5 x </w:t>
            </w:r>
            <w:r>
              <w:rPr>
                <w:rFonts w:cs="Arial"/>
                <w:lang w:val="sv-SE"/>
              </w:rPr>
              <w:t>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2.56</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58.88 x </w:t>
            </w:r>
            <w:r>
              <w:rPr>
                <w:rFonts w:cs="Arial"/>
                <w:lang w:val="sv-SE"/>
              </w:rPr>
              <w:t>K3</w:t>
            </w:r>
            <w:r>
              <w:rPr>
                <w:lang w:val="sv-SE"/>
              </w:rPr>
              <w:t xml:space="preserve"> (23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2.56 x </w:t>
            </w:r>
            <w:r>
              <w:rPr>
                <w:rFonts w:cs="Arial"/>
                <w:lang w:val="sv-SE"/>
              </w:rPr>
              <w:t>K3</w:t>
            </w:r>
            <w:r>
              <w:rPr>
                <w:lang w:val="sv-SE"/>
              </w:rPr>
              <w:t xml:space="preserve"> (1 x </w:t>
            </w:r>
            <w:r>
              <w:rPr>
                <w:rFonts w:cs="Arial"/>
                <w:lang w:val="sv-SE"/>
              </w:rPr>
              <w:t>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7.68 x </w:t>
            </w:r>
            <w:r>
              <w:rPr>
                <w:rFonts w:cs="Arial"/>
                <w:lang w:val="sv-SE"/>
              </w:rPr>
              <w:t>K3</w:t>
            </w:r>
            <w:r>
              <w:rPr>
                <w:lang w:val="sv-SE"/>
              </w:rPr>
              <w:t xml:space="preserve"> (3 x </w:t>
            </w:r>
            <w:r>
              <w:rPr>
                <w:rFonts w:cs="Arial"/>
                <w:lang w:val="sv-SE"/>
              </w:rPr>
              <w:t>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90"/>
            </w:pPr>
            <w:r>
              <w:rPr>
                <w:snapToGrid w:val="0"/>
              </w:rPr>
              <w:t>Note 1:</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p>
      <w:pPr>
        <w:pStyle w:val="79"/>
        <w:rPr>
          <w:vertAlign w:val="subscript"/>
        </w:rPr>
      </w:pPr>
      <w:r>
        <w:t>Table 4.2B.2.10.2-2: T</w:t>
      </w:r>
      <w:r>
        <w:rPr>
          <w:vertAlign w:val="subscript"/>
        </w:rPr>
        <w:t>detect,NR_Inter_RedCap_Relax,</w:t>
      </w:r>
      <w:r>
        <w:t xml:space="preserve"> T</w:t>
      </w:r>
      <w:r>
        <w:rPr>
          <w:vertAlign w:val="subscript"/>
        </w:rPr>
        <w:t>measure,NR_Inter_RedCap_Relax</w:t>
      </w:r>
      <w:r>
        <w:t xml:space="preserve"> and T</w:t>
      </w:r>
      <w:r>
        <w:rPr>
          <w:vertAlign w:val="subscript"/>
        </w:rPr>
        <w:t>evaluate,NR_Inter_RedCap_Relax</w:t>
      </w:r>
      <w:r>
        <w:t xml:space="preserve"> for 2 Rx RedCap UE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580"/>
        <w:gridCol w:w="915"/>
        <w:gridCol w:w="2392"/>
        <w:gridCol w:w="2528"/>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75"/>
            </w:pPr>
            <w:r>
              <w:t>DRX cycle length [s]</w:t>
            </w:r>
          </w:p>
        </w:tc>
        <w:tc>
          <w:tcPr>
            <w:tcW w:w="0" w:type="auto"/>
            <w:gridSpan w:val="2"/>
            <w:tcBorders>
              <w:top w:val="single" w:color="auto" w:sz="4" w:space="0"/>
              <w:left w:val="single" w:color="auto" w:sz="4" w:space="0"/>
              <w:bottom w:val="single" w:color="auto" w:sz="4" w:space="0"/>
              <w:right w:val="single" w:color="auto" w:sz="4" w:space="0"/>
            </w:tcBorders>
          </w:tcPr>
          <w:p>
            <w:pPr>
              <w:pStyle w:val="75"/>
            </w:pPr>
            <w:r>
              <w:t>Scaling Factor (N1)</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ins w:id="9" w:author="Wu Yan (ZTE)" w:date="2024-10-31T14:57:33Z">
              <w:r>
                <w:rPr>
                  <w:vertAlign w:val="subscript"/>
                </w:rPr>
                <w:t>_RedCap</w:t>
              </w:r>
            </w:ins>
            <w:r>
              <w:rPr>
                <w:rFonts w:cs="v4.2.0"/>
                <w:vertAlign w:val="subscript"/>
              </w:rPr>
              <w:t>_Relax</w:t>
            </w:r>
            <w: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ins w:id="10" w:author="Wu Yan (ZTE)" w:date="2024-10-31T14:57:38Z">
              <w:r>
                <w:rPr>
                  <w:vertAlign w:val="subscript"/>
                </w:rPr>
                <w:t>_RedCap</w:t>
              </w:r>
            </w:ins>
            <w:r>
              <w:rPr>
                <w:rFonts w:cs="v4.2.0"/>
                <w:vertAlign w:val="subscript"/>
              </w:rPr>
              <w:t>_Relax</w:t>
            </w:r>
            <w: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ins w:id="11" w:author="Wu Yan (ZTE)" w:date="2024-10-31T14:57:41Z">
              <w:r>
                <w:rPr>
                  <w:vertAlign w:val="subscript"/>
                </w:rPr>
                <w:t>_RedCap</w:t>
              </w:r>
            </w:ins>
            <w:r>
              <w:rPr>
                <w:rFonts w:cs="v4.2.0"/>
                <w:vertAlign w:val="subscript"/>
              </w:rPr>
              <w:t>_Relax</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tcBorders>
              <w:top w:val="single" w:color="auto" w:sz="4" w:space="0"/>
              <w:left w:val="single" w:color="auto" w:sz="4" w:space="0"/>
              <w:bottom w:val="single" w:color="auto" w:sz="4" w:space="0"/>
              <w:right w:val="single" w:color="auto" w:sz="4" w:space="0"/>
            </w:tcBorders>
          </w:tcPr>
          <w:p>
            <w:pPr>
              <w:pStyle w:val="75"/>
            </w:pPr>
            <w:r>
              <w:t>FR1</w:t>
            </w:r>
          </w:p>
        </w:tc>
        <w:tc>
          <w:tcPr>
            <w:tcW w:w="0" w:type="auto"/>
            <w:tcBorders>
              <w:top w:val="single" w:color="auto" w:sz="4" w:space="0"/>
              <w:left w:val="single" w:color="auto" w:sz="4" w:space="0"/>
              <w:bottom w:val="single" w:color="auto" w:sz="4" w:space="0"/>
              <w:right w:val="single" w:color="auto" w:sz="4" w:space="0"/>
            </w:tcBorders>
          </w:tcPr>
          <w:p>
            <w:pPr>
              <w:pStyle w:val="75"/>
              <w:rPr>
                <w:vertAlign w:val="superscript"/>
              </w:rPr>
            </w:pPr>
            <w:r>
              <w:t>FR2</w:t>
            </w:r>
            <w:r>
              <w:rPr>
                <w:vertAlign w:val="superscript"/>
              </w:rPr>
              <w:t>Note1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0.32</w:t>
            </w:r>
          </w:p>
        </w:tc>
        <w:tc>
          <w:tcPr>
            <w:tcW w:w="0" w:type="auto"/>
            <w:tcBorders>
              <w:top w:val="single" w:color="auto" w:sz="4" w:space="0"/>
              <w:left w:val="single" w:color="auto" w:sz="4" w:space="0"/>
              <w:bottom w:val="nil"/>
              <w:right w:val="single" w:color="auto" w:sz="4" w:space="0"/>
            </w:tcBorders>
          </w:tcPr>
          <w:p>
            <w:pPr>
              <w:pStyle w:val="76"/>
            </w:pPr>
            <w:r>
              <w:t>1</w:t>
            </w:r>
          </w:p>
        </w:tc>
        <w:tc>
          <w:tcPr>
            <w:tcW w:w="0" w:type="auto"/>
            <w:tcBorders>
              <w:top w:val="single" w:color="auto" w:sz="4" w:space="0"/>
              <w:left w:val="single" w:color="auto" w:sz="4" w:space="0"/>
              <w:bottom w:val="single" w:color="auto" w:sz="4" w:space="0"/>
              <w:right w:val="single" w:color="auto" w:sz="4" w:space="0"/>
            </w:tcBorders>
          </w:tcPr>
          <w:p>
            <w:pPr>
              <w:pStyle w:val="76"/>
            </w:pPr>
            <w:r>
              <w:t>8</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11.52 x N1 </w:t>
            </w:r>
            <w:r>
              <w:rPr>
                <w:rFonts w:cs="Arial"/>
                <w:lang w:val="sv-SE"/>
              </w:rPr>
              <w:t xml:space="preserve">x 1.5 x K3 </w:t>
            </w:r>
            <w:r>
              <w:rPr>
                <w:lang w:val="sv-SE"/>
              </w:rPr>
              <w:t>(36 x N1</w:t>
            </w:r>
            <w:r>
              <w:rPr>
                <w:rFonts w:cs="Arial"/>
                <w:lang w:val="sv-SE"/>
              </w:rPr>
              <w:t xml:space="preserve"> x 1.5 x K3</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1.28 x N1 </w:t>
            </w:r>
            <w:r>
              <w:rPr>
                <w:rFonts w:cs="Arial"/>
                <w:lang w:val="sv-SE"/>
              </w:rPr>
              <w:t xml:space="preserve">x 1.5 x K3 </w:t>
            </w:r>
            <w:r>
              <w:rPr>
                <w:lang w:val="sv-SE"/>
              </w:rPr>
              <w:t>(4 x N1</w:t>
            </w:r>
            <w:r>
              <w:rPr>
                <w:rFonts w:cs="Arial"/>
                <w:lang w:val="sv-SE"/>
              </w:rPr>
              <w:t xml:space="preserve"> x 1.5 x K4</w:t>
            </w:r>
            <w:r>
              <w:rPr>
                <w:lang w:val="sv-SE"/>
              </w:rPr>
              <w:t>)</w:t>
            </w:r>
          </w:p>
        </w:tc>
        <w:tc>
          <w:tcPr>
            <w:tcW w:w="0" w:type="auto"/>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5.12 x N1 </w:t>
            </w:r>
            <w:r>
              <w:rPr>
                <w:rFonts w:cs="Arial"/>
                <w:lang w:val="sv-SE"/>
              </w:rPr>
              <w:t xml:space="preserve">x 1.5 x K3 </w:t>
            </w:r>
            <w:r>
              <w:rPr>
                <w:lang w:val="sv-SE"/>
              </w:rPr>
              <w:t>(16 x N1</w:t>
            </w:r>
            <w:r>
              <w:rPr>
                <w:rFonts w:cs="Arial"/>
                <w:lang w:val="sv-SE"/>
              </w:rPr>
              <w:t xml:space="preserve"> x 1.5 x K3</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0.64</w:t>
            </w:r>
          </w:p>
        </w:tc>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5</w:t>
            </w:r>
          </w:p>
        </w:tc>
        <w:tc>
          <w:tcPr>
            <w:tcW w:w="0" w:type="auto"/>
            <w:tcBorders>
              <w:top w:val="single" w:color="auto" w:sz="4" w:space="0"/>
              <w:left w:val="single" w:color="auto" w:sz="4" w:space="0"/>
              <w:bottom w:val="single" w:color="auto" w:sz="4" w:space="0"/>
              <w:right w:val="single" w:color="auto" w:sz="4" w:space="0"/>
            </w:tcBorders>
          </w:tcPr>
          <w:p>
            <w:pPr>
              <w:pStyle w:val="76"/>
            </w:pPr>
            <w:r>
              <w:t>17.92x N1</w:t>
            </w:r>
            <w:r>
              <w:rPr>
                <w:rFonts w:cs="Arial"/>
              </w:rPr>
              <w:t xml:space="preserve"> x K3</w:t>
            </w:r>
            <w:r>
              <w:t xml:space="preserve"> (28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1.28 x N1</w:t>
            </w:r>
            <w:r>
              <w:rPr>
                <w:rFonts w:cs="Arial"/>
              </w:rPr>
              <w:t xml:space="preserve"> x K3</w:t>
            </w:r>
            <w:r>
              <w:t xml:space="preserve"> (2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5.12 x N1</w:t>
            </w:r>
            <w:r>
              <w:rPr>
                <w:rFonts w:cs="Arial"/>
              </w:rPr>
              <w:t xml:space="preserve"> x K3</w:t>
            </w:r>
            <w:r>
              <w:t xml:space="preserve"> (8 x N1</w:t>
            </w:r>
            <w:r>
              <w:rPr>
                <w:rFonts w:cs="Arial"/>
              </w:rPr>
              <w:t xml:space="preserve"> x K3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1.28</w:t>
            </w:r>
          </w:p>
        </w:tc>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4</w:t>
            </w:r>
          </w:p>
        </w:tc>
        <w:tc>
          <w:tcPr>
            <w:tcW w:w="0" w:type="auto"/>
            <w:tcBorders>
              <w:top w:val="single" w:color="auto" w:sz="4" w:space="0"/>
              <w:left w:val="single" w:color="auto" w:sz="4" w:space="0"/>
              <w:bottom w:val="single" w:color="auto" w:sz="4" w:space="0"/>
              <w:right w:val="single" w:color="auto" w:sz="4" w:space="0"/>
            </w:tcBorders>
          </w:tcPr>
          <w:p>
            <w:pPr>
              <w:pStyle w:val="76"/>
            </w:pPr>
            <w:r>
              <w:t>32 x N1</w:t>
            </w:r>
            <w:r>
              <w:rPr>
                <w:rFonts w:cs="Arial"/>
              </w:rPr>
              <w:t xml:space="preserve"> x K3</w:t>
            </w:r>
            <w:r>
              <w:t xml:space="preserve"> (25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1.28 x N1</w:t>
            </w:r>
            <w:r>
              <w:rPr>
                <w:rFonts w:cs="Arial"/>
              </w:rPr>
              <w:t xml:space="preserve"> x K3</w:t>
            </w:r>
            <w:r>
              <w:t xml:space="preserve"> (1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6.4 x N1</w:t>
            </w:r>
            <w:r>
              <w:rPr>
                <w:rFonts w:cs="Arial"/>
              </w:rPr>
              <w:t xml:space="preserve"> x K3</w:t>
            </w:r>
            <w:r>
              <w:t xml:space="preserve"> (5 x N1</w:t>
            </w:r>
            <w:r>
              <w:rPr>
                <w:rFonts w:cs="Arial"/>
              </w:rPr>
              <w:t xml:space="preserve"> x K3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t>2.56</w:t>
            </w:r>
          </w:p>
        </w:tc>
        <w:tc>
          <w:tcPr>
            <w:tcW w:w="0" w:type="auto"/>
            <w:tcBorders>
              <w:top w:val="nil"/>
              <w:left w:val="single" w:color="auto" w:sz="4" w:space="0"/>
              <w:bottom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3</w:t>
            </w:r>
          </w:p>
        </w:tc>
        <w:tc>
          <w:tcPr>
            <w:tcW w:w="0" w:type="auto"/>
            <w:tcBorders>
              <w:top w:val="single" w:color="auto" w:sz="4" w:space="0"/>
              <w:left w:val="single" w:color="auto" w:sz="4" w:space="0"/>
              <w:bottom w:val="single" w:color="auto" w:sz="4" w:space="0"/>
              <w:right w:val="single" w:color="auto" w:sz="4" w:space="0"/>
            </w:tcBorders>
          </w:tcPr>
          <w:p>
            <w:pPr>
              <w:pStyle w:val="76"/>
            </w:pPr>
            <w:r>
              <w:t>58.88 x N1</w:t>
            </w:r>
            <w:r>
              <w:rPr>
                <w:rFonts w:cs="Arial"/>
              </w:rPr>
              <w:t xml:space="preserve"> x K3</w:t>
            </w:r>
            <w:r>
              <w:t xml:space="preserve"> (23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2.56 x N1</w:t>
            </w:r>
            <w:r>
              <w:rPr>
                <w:rFonts w:cs="Arial"/>
              </w:rPr>
              <w:t xml:space="preserve"> x K3</w:t>
            </w:r>
            <w:r>
              <w:t xml:space="preserve"> (1 x N1</w:t>
            </w:r>
            <w:r>
              <w:rPr>
                <w:rFonts w:cs="Arial"/>
              </w:rPr>
              <w:t xml:space="preserve"> x K3</w:t>
            </w:r>
            <w:r>
              <w:t>)</w:t>
            </w:r>
          </w:p>
        </w:tc>
        <w:tc>
          <w:tcPr>
            <w:tcW w:w="0" w:type="auto"/>
            <w:tcBorders>
              <w:top w:val="single" w:color="auto" w:sz="4" w:space="0"/>
              <w:left w:val="single" w:color="auto" w:sz="4" w:space="0"/>
              <w:bottom w:val="single" w:color="auto" w:sz="4" w:space="0"/>
              <w:right w:val="single" w:color="auto" w:sz="4" w:space="0"/>
            </w:tcBorders>
          </w:tcPr>
          <w:p>
            <w:pPr>
              <w:pStyle w:val="76"/>
            </w:pPr>
            <w:r>
              <w:t>7.68 x N1</w:t>
            </w:r>
            <w:r>
              <w:rPr>
                <w:rFonts w:cs="Arial"/>
              </w:rPr>
              <w:t xml:space="preserve"> x K3</w:t>
            </w:r>
            <w:r>
              <w:t xml:space="preserve"> (3 x N1</w:t>
            </w:r>
            <w:r>
              <w:rPr>
                <w:rFonts w:cs="Arial"/>
              </w:rPr>
              <w:t xml:space="preserve"> x K3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6"/>
            <w:tcBorders>
              <w:top w:val="single" w:color="auto" w:sz="4" w:space="0"/>
              <w:left w:val="single" w:color="auto" w:sz="4" w:space="0"/>
              <w:bottom w:val="single" w:color="auto" w:sz="4" w:space="0"/>
              <w:right w:val="single" w:color="auto" w:sz="4" w:space="0"/>
            </w:tcBorders>
          </w:tcPr>
          <w:p>
            <w:pPr>
              <w:pStyle w:val="90"/>
            </w:pPr>
            <w:r>
              <w:rPr>
                <w:snapToGrid w:val="0"/>
              </w:rPr>
              <w:t>Note 1</w:t>
            </w:r>
            <w:r>
              <w:t>:</w:t>
            </w:r>
            <w:r>
              <w:rPr>
                <w:lang w:val="en-US"/>
              </w:rPr>
              <w:tab/>
            </w:r>
            <w:r>
              <w:t>Applies for RedCap UE of all supporting power class.</w:t>
            </w:r>
          </w:p>
          <w:p>
            <w:pPr>
              <w:pStyle w:val="90"/>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p>
      <w:pPr>
        <w:pStyle w:val="79"/>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w:t>
      </w:r>
      <w:del w:id="12" w:author="Wu Yan (ZTE)" w:date="2024-10-31T15:07:37Z">
        <w:r>
          <w:rPr>
            <w:vertAlign w:val="subscript"/>
            <w:lang w:val="en-US"/>
          </w:rPr>
          <w:delText>NR_,</w:delText>
        </w:r>
      </w:del>
      <w:r>
        <w:rPr>
          <w:vertAlign w:val="subscript"/>
          <w:lang w:val="en-US"/>
        </w:rPr>
        <w:t>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9"/>
        <w:gridCol w:w="2668"/>
        <w:gridCol w:w="2703"/>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0" w:type="auto"/>
            <w:vMerge w:val="restart"/>
          </w:tcPr>
          <w:p>
            <w:pPr>
              <w:pStyle w:val="75"/>
              <w:rPr>
                <w:lang w:val="en-US"/>
              </w:rPr>
            </w:pPr>
            <w:r>
              <w:t>eDRX_IDLE cycle length [s]</w:t>
            </w:r>
          </w:p>
        </w:tc>
        <w:tc>
          <w:tcPr>
            <w:tcW w:w="0" w:type="auto"/>
            <w:vMerge w:val="restart"/>
          </w:tcPr>
          <w:p>
            <w:pPr>
              <w:pStyle w:val="75"/>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pPr>
              <w:pStyle w:val="75"/>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pPr>
              <w:pStyle w:val="75"/>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0" w:type="auto"/>
            <w:vMerge w:val="continue"/>
          </w:tcPr>
          <w:p>
            <w:pPr>
              <w:rPr>
                <w:rFonts w:ascii="Arial" w:hAnsi="Arial" w:cs="Arial"/>
                <w:sz w:val="18"/>
                <w:lang w:val="en-US"/>
              </w:rPr>
            </w:pPr>
          </w:p>
        </w:tc>
        <w:tc>
          <w:tcPr>
            <w:tcW w:w="0" w:type="auto"/>
            <w:vMerge w:val="continue"/>
          </w:tcPr>
          <w:p>
            <w:pPr>
              <w:rPr>
                <w:rFonts w:ascii="Arial" w:hAnsi="Arial" w:cs="Arial"/>
                <w:sz w:val="18"/>
                <w:lang w:val="en-US"/>
              </w:rPr>
            </w:pPr>
          </w:p>
        </w:tc>
        <w:tc>
          <w:tcPr>
            <w:tcW w:w="0" w:type="auto"/>
            <w:vMerge w:val="continue"/>
          </w:tcPr>
          <w:p>
            <w:pPr>
              <w:rPr>
                <w:rFonts w:ascii="Arial" w:hAnsi="Arial" w:cs="Arial"/>
                <w:sz w:val="18"/>
                <w:lang w:val="en-US"/>
              </w:rPr>
            </w:pPr>
          </w:p>
        </w:tc>
        <w:tc>
          <w:tcPr>
            <w:tcW w:w="0" w:type="auto"/>
            <w:vMerge w:val="continue"/>
          </w:tcPr>
          <w:p>
            <w:pP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0" w:type="auto"/>
          </w:tcPr>
          <w:p>
            <w:pPr>
              <w:rPr>
                <w:rFonts w:ascii="Arial" w:hAnsi="Arial" w:cs="Arial"/>
                <w:sz w:val="18"/>
                <w:lang w:val="en-US"/>
              </w:rPr>
            </w:pPr>
            <w:r>
              <w:rPr>
                <w:rFonts w:ascii="Arial" w:hAnsi="Arial" w:cs="Arial"/>
                <w:sz w:val="18"/>
                <w:szCs w:val="18"/>
              </w:rPr>
              <w:t>2.56</w:t>
            </w:r>
          </w:p>
        </w:tc>
        <w:tc>
          <w:tcPr>
            <w:tcW w:w="0" w:type="auto"/>
          </w:tcPr>
          <w:p>
            <w:pPr>
              <w:rPr>
                <w:rFonts w:ascii="Arial" w:hAnsi="Arial" w:cs="Arial"/>
                <w:sz w:val="18"/>
                <w:lang w:val="en-US"/>
              </w:rPr>
            </w:pPr>
            <w:r>
              <w:rPr>
                <w:rFonts w:ascii="Arial" w:hAnsi="Arial" w:cs="Arial"/>
                <w:sz w:val="18"/>
                <w:szCs w:val="18"/>
              </w:rPr>
              <w:t>58.88 x K3 (23 x K3)</w:t>
            </w:r>
          </w:p>
        </w:tc>
        <w:tc>
          <w:tcPr>
            <w:tcW w:w="0" w:type="auto"/>
          </w:tcPr>
          <w:p>
            <w:pPr>
              <w:rPr>
                <w:rFonts w:ascii="Arial" w:hAnsi="Arial" w:cs="Arial"/>
                <w:sz w:val="18"/>
                <w:lang w:val="en-US"/>
              </w:rPr>
            </w:pPr>
            <w:r>
              <w:rPr>
                <w:rFonts w:ascii="Arial" w:hAnsi="Arial" w:cs="Arial"/>
                <w:sz w:val="18"/>
                <w:szCs w:val="18"/>
              </w:rPr>
              <w:t>2.56 x K3 (1 x K3)</w:t>
            </w:r>
          </w:p>
        </w:tc>
        <w:tc>
          <w:tcPr>
            <w:tcW w:w="0" w:type="auto"/>
          </w:tcPr>
          <w:p>
            <w:pPr>
              <w:rPr>
                <w:rFonts w:ascii="Arial" w:hAnsi="Arial" w:cs="Arial"/>
                <w:sz w:val="18"/>
                <w:lang w:val="en-US"/>
              </w:rPr>
            </w:pPr>
            <w:r>
              <w:rPr>
                <w:rFonts w:ascii="Arial" w:hAnsi="Arial" w:cs="Arial"/>
                <w:sz w:val="18"/>
                <w:szCs w:val="18"/>
              </w:rPr>
              <w:t>5.12 x K3 (2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Pr>
          <w:p>
            <w:pPr>
              <w:rPr>
                <w:rFonts w:ascii="Arial" w:hAnsi="Arial" w:cs="Arial"/>
                <w:sz w:val="18"/>
                <w:szCs w:val="18"/>
              </w:rPr>
            </w:pPr>
            <w:r>
              <w:rPr>
                <w:rFonts w:ascii="Arial" w:hAnsi="Arial" w:cs="Arial"/>
                <w:sz w:val="18"/>
                <w:szCs w:val="18"/>
              </w:rPr>
              <w:t>5.12</w:t>
            </w:r>
          </w:p>
        </w:tc>
        <w:tc>
          <w:tcPr>
            <w:tcW w:w="0" w:type="auto"/>
          </w:tcPr>
          <w:p>
            <w:pPr>
              <w:rPr>
                <w:rFonts w:ascii="Arial" w:hAnsi="Arial" w:cs="Arial"/>
                <w:sz w:val="18"/>
                <w:szCs w:val="18"/>
              </w:rPr>
            </w:pPr>
            <w:r>
              <w:rPr>
                <w:rFonts w:ascii="Arial" w:hAnsi="Arial" w:cs="Arial"/>
                <w:sz w:val="18"/>
                <w:szCs w:val="18"/>
              </w:rPr>
              <w:t>117.76 x K3 (23 x K3)</w:t>
            </w:r>
          </w:p>
        </w:tc>
        <w:tc>
          <w:tcPr>
            <w:tcW w:w="0" w:type="auto"/>
          </w:tcPr>
          <w:p>
            <w:pPr>
              <w:rPr>
                <w:rFonts w:ascii="Arial" w:hAnsi="Arial" w:cs="Arial"/>
                <w:sz w:val="18"/>
                <w:szCs w:val="18"/>
              </w:rPr>
            </w:pPr>
            <w:r>
              <w:rPr>
                <w:rFonts w:ascii="Arial" w:hAnsi="Arial" w:cs="Arial"/>
                <w:sz w:val="18"/>
                <w:szCs w:val="18"/>
              </w:rPr>
              <w:t>5.12 x K3 (1 x K3)</w:t>
            </w:r>
          </w:p>
        </w:tc>
        <w:tc>
          <w:tcPr>
            <w:tcW w:w="0" w:type="auto"/>
          </w:tcPr>
          <w:p>
            <w:pPr>
              <w:rPr>
                <w:rFonts w:ascii="Arial" w:hAnsi="Arial" w:cs="Arial"/>
                <w:sz w:val="18"/>
                <w:szCs w:val="18"/>
              </w:rPr>
            </w:pPr>
            <w:r>
              <w:rPr>
                <w:rFonts w:ascii="Arial" w:hAnsi="Arial" w:cs="Arial"/>
                <w:sz w:val="18"/>
                <w:szCs w:val="18"/>
              </w:rPr>
              <w:t>10.24 x K3 (2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Pr>
          <w:p>
            <w:pPr>
              <w:rPr>
                <w:rFonts w:ascii="Arial" w:hAnsi="Arial" w:cs="Arial"/>
                <w:sz w:val="18"/>
                <w:szCs w:val="18"/>
              </w:rPr>
            </w:pPr>
            <w:r>
              <w:rPr>
                <w:rFonts w:ascii="Arial" w:hAnsi="Arial" w:cs="Arial"/>
                <w:sz w:val="18"/>
                <w:szCs w:val="18"/>
              </w:rPr>
              <w:t>10.24</w:t>
            </w:r>
          </w:p>
        </w:tc>
        <w:tc>
          <w:tcPr>
            <w:tcW w:w="0" w:type="auto"/>
          </w:tcPr>
          <w:p>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gridSpan w:val="4"/>
          </w:tcPr>
          <w:p>
            <w:pPr>
              <w:pStyle w:val="90"/>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ins w:id="13" w:author="Wu Yan (ZTE)" w:date="2024-10-31T15:07:58Z">
              <w:r>
                <w:rPr>
                  <w:snapToGrid w:val="0"/>
                  <w:vertAlign w:val="subscript"/>
                  <w:lang w:val="en-US"/>
                </w:rPr>
                <w:t>_RedCap</w:t>
              </w:r>
            </w:ins>
            <w:r>
              <w:rPr>
                <w:snapToGrid w:val="0"/>
                <w:vertAlign w:val="subscript"/>
              </w:rPr>
              <w:t xml:space="preserve">_Relax </w:t>
            </w:r>
            <w:r>
              <w:rPr>
                <w:snapToGrid w:val="0"/>
              </w:rPr>
              <w:t>is expected.</w:t>
            </w:r>
          </w:p>
          <w:p>
            <w:pPr>
              <w:pStyle w:val="90"/>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79"/>
        <w:rPr>
          <w:lang w:val="en-US"/>
        </w:rPr>
      </w:pPr>
      <w:r>
        <w:rPr>
          <w:lang w:val="en-US"/>
        </w:rPr>
        <w:t>Table 4.2B.2.10.10-5: T</w:t>
      </w:r>
      <w:r>
        <w:rPr>
          <w:vertAlign w:val="subscript"/>
          <w:lang w:val="en-US"/>
        </w:rPr>
        <w:t>detect,NR_Inter_RedCap_Relax</w:t>
      </w:r>
      <w:r>
        <w:rPr>
          <w:lang w:val="en-US"/>
        </w:rPr>
        <w:t>, T</w:t>
      </w:r>
      <w:r>
        <w:rPr>
          <w:vertAlign w:val="subscript"/>
          <w:lang w:val="en-US"/>
        </w:rPr>
        <w:t>measure,NR_Inter_RedCap_Relax</w:t>
      </w:r>
      <w:r>
        <w:rPr>
          <w:lang w:val="en-US"/>
        </w:rPr>
        <w:t xml:space="preserve"> and T</w:t>
      </w:r>
      <w:r>
        <w:rPr>
          <w:vertAlign w:val="subscript"/>
          <w:lang w:val="en-US"/>
        </w:rPr>
        <w:t>evaluate,NR_Inter_RedCap_Relax</w:t>
      </w:r>
      <w:r>
        <w:rPr>
          <w:lang w:val="en-US"/>
        </w:rPr>
        <w:t xml:space="preserve"> for UE configured with eDRX_IDLE cycle greater than 10.24s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756"/>
        <w:gridCol w:w="936"/>
        <w:gridCol w:w="2431"/>
        <w:gridCol w:w="2196"/>
        <w:gridCol w:w="2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198" w:type="dxa"/>
          </w:tcPr>
          <w:p>
            <w:pPr>
              <w:rPr>
                <w:rFonts w:ascii="Arial" w:hAnsi="Arial" w:cs="Arial"/>
                <w:sz w:val="18"/>
                <w:lang w:val="en-US"/>
              </w:rPr>
            </w:pPr>
            <w:r>
              <w:rPr>
                <w:rFonts w:ascii="Arial" w:hAnsi="Arial" w:cs="Arial"/>
                <w:b/>
                <w:sz w:val="18"/>
              </w:rPr>
              <w:t>eDRX_IDLE cycle length [s]</w:t>
            </w:r>
          </w:p>
        </w:tc>
        <w:tc>
          <w:tcPr>
            <w:tcW w:w="751" w:type="dxa"/>
          </w:tcPr>
          <w:p>
            <w:pPr>
              <w:rPr>
                <w:rFonts w:ascii="Arial" w:hAnsi="Arial" w:cs="Arial"/>
                <w:sz w:val="18"/>
                <w:lang w:val="en-US"/>
              </w:rPr>
            </w:pPr>
            <w:r>
              <w:rPr>
                <w:rFonts w:ascii="Arial" w:hAnsi="Arial" w:cs="Arial"/>
                <w:b/>
                <w:sz w:val="18"/>
              </w:rPr>
              <w:t>DRX cycle length [s]</w:t>
            </w:r>
          </w:p>
        </w:tc>
        <w:tc>
          <w:tcPr>
            <w:tcW w:w="930" w:type="dxa"/>
          </w:tcPr>
          <w:p>
            <w:pPr>
              <w:rPr>
                <w:rFonts w:ascii="Arial" w:hAnsi="Arial" w:cs="Arial"/>
                <w:sz w:val="18"/>
                <w:lang w:val="en-US"/>
              </w:rPr>
            </w:pPr>
            <w:r>
              <w:rPr>
                <w:rFonts w:ascii="Arial" w:hAnsi="Arial" w:cs="Arial"/>
                <w:b/>
                <w:sz w:val="18"/>
              </w:rPr>
              <w:t>PTW length [s] (number of 1.28s periods)</w:t>
            </w:r>
          </w:p>
        </w:tc>
        <w:tc>
          <w:tcPr>
            <w:tcW w:w="2431" w:type="dxa"/>
          </w:tcPr>
          <w:p>
            <w:pPr>
              <w:rPr>
                <w:rFonts w:ascii="Arial" w:hAnsi="Arial" w:cs="Arial"/>
                <w:sz w:val="18"/>
                <w:szCs w:val="18"/>
                <w:lang w:val="en-US"/>
              </w:rPr>
            </w:pPr>
            <w:r>
              <w:rPr>
                <w:rFonts w:ascii="Arial" w:hAnsi="Arial" w:cs="Arial"/>
                <w:b/>
                <w:sz w:val="18"/>
                <w:szCs w:val="18"/>
                <w:lang w:val="en-US"/>
              </w:rPr>
              <w:t>T</w:t>
            </w:r>
            <w:r>
              <w:rPr>
                <w:rFonts w:ascii="Arial" w:hAnsi="Arial" w:cs="Arial"/>
                <w:b/>
                <w:sz w:val="18"/>
                <w:szCs w:val="18"/>
                <w:vertAlign w:val="subscript"/>
                <w:lang w:val="en-US"/>
              </w:rPr>
              <w:t>detect,NR_Inter_RedCap_Relax</w:t>
            </w:r>
            <w:r>
              <w:rPr>
                <w:rFonts w:ascii="Arial" w:hAnsi="Arial" w:cs="Arial"/>
                <w:b/>
                <w:sz w:val="18"/>
                <w:szCs w:val="18"/>
              </w:rPr>
              <w:t xml:space="preserve"> [s] (number of DRX cycles)</w:t>
            </w:r>
          </w:p>
        </w:tc>
        <w:tc>
          <w:tcPr>
            <w:tcW w:w="1860" w:type="dxa"/>
          </w:tcPr>
          <w:p>
            <w:pPr>
              <w:rPr>
                <w:rFonts w:ascii="Arial" w:hAnsi="Arial" w:cs="Arial"/>
                <w:sz w:val="18"/>
                <w:szCs w:val="18"/>
                <w:lang w:val="en-US"/>
              </w:rPr>
            </w:pPr>
            <w:r>
              <w:rPr>
                <w:rFonts w:ascii="Arial" w:hAnsi="Arial" w:cs="Arial"/>
                <w:b/>
                <w:sz w:val="18"/>
                <w:szCs w:val="18"/>
                <w:lang w:val="en-US"/>
              </w:rPr>
              <w:t>T</w:t>
            </w:r>
            <w:r>
              <w:rPr>
                <w:rFonts w:ascii="Arial" w:hAnsi="Arial" w:cs="Arial"/>
                <w:b/>
                <w:sz w:val="18"/>
                <w:szCs w:val="18"/>
                <w:vertAlign w:val="subscript"/>
                <w:lang w:val="en-US"/>
              </w:rPr>
              <w:t>measure,NR_Inter_RedCap_Relax</w:t>
            </w:r>
            <w:r>
              <w:rPr>
                <w:rFonts w:ascii="Arial" w:hAnsi="Arial" w:cs="Arial"/>
                <w:b/>
                <w:sz w:val="18"/>
                <w:szCs w:val="18"/>
                <w:lang w:val="en-US"/>
              </w:rPr>
              <w:t xml:space="preserve"> </w:t>
            </w:r>
            <w:r>
              <w:rPr>
                <w:rFonts w:ascii="Arial" w:hAnsi="Arial" w:cs="Arial"/>
                <w:b/>
                <w:sz w:val="18"/>
                <w:szCs w:val="18"/>
              </w:rPr>
              <w:t>[s] (number of DRX cycles)</w:t>
            </w:r>
          </w:p>
        </w:tc>
        <w:tc>
          <w:tcPr>
            <w:tcW w:w="1846" w:type="dxa"/>
          </w:tcPr>
          <w:p>
            <w:pPr>
              <w:rPr>
                <w:rFonts w:ascii="Arial" w:hAnsi="Arial" w:cs="Arial"/>
                <w:b/>
                <w:sz w:val="18"/>
                <w:szCs w:val="18"/>
                <w:lang w:val="en-US"/>
              </w:rPr>
            </w:pPr>
            <w:r>
              <w:rPr>
                <w:rFonts w:ascii="Arial" w:hAnsi="Arial" w:cs="Arial"/>
                <w:b/>
                <w:sz w:val="18"/>
                <w:szCs w:val="18"/>
                <w:lang w:val="en-US"/>
              </w:rPr>
              <w:t>T</w:t>
            </w:r>
            <w:r>
              <w:rPr>
                <w:rFonts w:ascii="Arial" w:hAnsi="Arial" w:cs="Arial"/>
                <w:b/>
                <w:sz w:val="18"/>
                <w:szCs w:val="18"/>
                <w:vertAlign w:val="subscript"/>
                <w:lang w:val="en-US"/>
              </w:rPr>
              <w:t xml:space="preserve">evaluate,NR_Inter_RedCap_Relax </w:t>
            </w:r>
            <w:r>
              <w:rPr>
                <w:rFonts w:ascii="Arial" w:hAnsi="Arial" w:cs="Arial"/>
                <w:b/>
                <w:sz w:val="18"/>
                <w:szCs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98" w:type="dxa"/>
            <w:vMerge w:val="restart"/>
          </w:tcPr>
          <w:p>
            <w:pPr>
              <w:rPr>
                <w:rFonts w:ascii="Arial" w:hAnsi="Arial" w:cs="Arial"/>
                <w:sz w:val="18"/>
                <w:lang w:val="en-US"/>
              </w:rPr>
            </w:pPr>
            <w:r>
              <w:rPr>
                <w:rFonts w:ascii="Arial" w:hAnsi="Arial" w:cs="Arial"/>
                <w:sz w:val="18"/>
              </w:rPr>
              <w:t>20.48 ≤</w:t>
            </w:r>
            <w:r>
              <w:rPr>
                <w:rFonts w:cs="Arial"/>
              </w:rPr>
              <w:t xml:space="preserve"> </w:t>
            </w:r>
            <w:r>
              <w:rPr>
                <w:rFonts w:ascii="Arial" w:hAnsi="Arial" w:cs="Arial"/>
                <w:sz w:val="18"/>
              </w:rPr>
              <w:t xml:space="preserve"> eDRX_IDLE cycle length ≤[163.84]</w:t>
            </w:r>
          </w:p>
        </w:tc>
        <w:tc>
          <w:tcPr>
            <w:tcW w:w="751" w:type="dxa"/>
          </w:tcPr>
          <w:p>
            <w:pPr>
              <w:rPr>
                <w:rFonts w:ascii="Arial" w:hAnsi="Arial" w:cs="Arial"/>
                <w:sz w:val="18"/>
                <w:lang w:val="en-US"/>
              </w:rPr>
            </w:pPr>
            <w:r>
              <w:rPr>
                <w:rFonts w:ascii="Arial" w:hAnsi="Arial" w:cs="Arial"/>
                <w:sz w:val="18"/>
              </w:rPr>
              <w:t>0.32</w:t>
            </w:r>
          </w:p>
        </w:tc>
        <w:tc>
          <w:tcPr>
            <w:tcW w:w="930" w:type="dxa"/>
          </w:tcPr>
          <w:p>
            <w:pPr>
              <w:rPr>
                <w:rFonts w:ascii="Arial" w:hAnsi="Arial" w:cs="Arial"/>
                <w:sz w:val="18"/>
                <w:lang w:val="en-US"/>
              </w:rPr>
            </w:pPr>
            <w:r>
              <w:rPr>
                <w:rFonts w:ascii="Arial" w:hAnsi="Arial" w:cs="Arial"/>
                <w:sz w:val="18"/>
              </w:rPr>
              <w:t>≥3.84 (3)</w:t>
            </w:r>
          </w:p>
        </w:tc>
        <w:tc>
          <w:tcPr>
            <w:tcW w:w="2431" w:type="dxa"/>
            <w:vMerge w:val="restart"/>
          </w:tcPr>
          <w:p>
            <w:pPr>
              <w:rPr>
                <w:rFonts w:ascii="Arial" w:hAnsi="Arial" w:cs="Arial"/>
                <w:sz w:val="18"/>
                <w:lang w:val="en-US"/>
              </w:rPr>
            </w:pPr>
            <m:oMathPara>
              <m:oMath>
                <m:r>
                  <m:rPr/>
                  <w:rPr>
                    <w:rFonts w:ascii="Cambria Math" w:hAnsi="Cambria Math" w:cs="Arial"/>
                    <w:sz w:val="18"/>
                    <w:lang w:val="en-US"/>
                  </w:rPr>
                  <m:t>eDRX</m:t>
                </m:r>
                <m:r>
                  <m:rPr>
                    <m:sty m:val="p"/>
                  </m:rPr>
                  <w:rPr>
                    <w:rFonts w:ascii="Cambria Math" w:hAnsi="Cambria Math" w:cs="Arial"/>
                    <w:sz w:val="18"/>
                    <w:lang w:val="en-US"/>
                  </w:rPr>
                  <m:t>_</m:t>
                </m:r>
                <m:r>
                  <m:rPr/>
                  <w:rPr>
                    <w:rFonts w:ascii="Cambria Math" w:hAnsi="Cambria Math" w:cs="Arial"/>
                    <w:sz w:val="18"/>
                    <w:lang w:val="en-US"/>
                  </w:rPr>
                  <m:t>cycl</m:t>
                </m:r>
                <m:r>
                  <m:rPr>
                    <m:sty m:val="p"/>
                  </m:rPr>
                  <w:rPr>
                    <w:rFonts w:ascii="Cambria Math" w:hAnsi="Cambria Math" w:cs="Arial"/>
                    <w:sz w:val="18"/>
                    <w:lang w:val="en-US"/>
                  </w:rPr>
                  <m:t>e_</m:t>
                </m:r>
                <m:r>
                  <m:rPr/>
                  <w:rPr>
                    <w:rFonts w:ascii="Cambria Math" w:hAnsi="Cambria Math" w:cs="Arial"/>
                    <w:sz w:val="18"/>
                    <w:lang w:val="en-US"/>
                  </w:rPr>
                  <m:t>lengtℎ×</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m:rPr/>
                          <w:rPr>
                            <w:rFonts w:ascii="Cambria Math" w:hAnsi="Cambria Math" w:cs="Arial"/>
                            <w:sz w:val="18"/>
                            <w:lang w:val="en-US"/>
                          </w:rPr>
                          <m:t>23</m:t>
                        </m:r>
                        <m:ctrlPr>
                          <w:rPr>
                            <w:rFonts w:ascii="Cambria Math" w:hAnsi="Cambria Math" w:cs="Arial"/>
                            <w:i/>
                            <w:sz w:val="18"/>
                            <w:lang w:val="en-US"/>
                          </w:rPr>
                        </m:ctrlPr>
                      </m:num>
                      <m:den>
                        <m:r>
                          <m:rPr/>
                          <w:rPr>
                            <w:rFonts w:ascii="Cambria Math" w:hAnsi="Cambria Math" w:cs="Arial"/>
                            <w:sz w:val="18"/>
                            <w:lang w:val="en-US"/>
                          </w:rPr>
                          <m:t>PTW/DRX_cycle_lengtℎ</m:t>
                        </m:r>
                        <m:ctrlPr>
                          <w:rPr>
                            <w:rFonts w:ascii="Cambria Math" w:hAnsi="Cambria Math" w:cs="Arial"/>
                            <w:i/>
                            <w:sz w:val="18"/>
                            <w:lang w:val="en-US"/>
                          </w:rPr>
                        </m:ctrlPr>
                      </m:den>
                    </m:f>
                    <m:ctrlPr>
                      <w:rPr>
                        <w:rFonts w:ascii="Cambria Math" w:hAnsi="Cambria Math" w:cs="Arial"/>
                        <w:i/>
                        <w:sz w:val="18"/>
                        <w:lang w:val="en-US"/>
                      </w:rPr>
                    </m:ctrlPr>
                  </m:e>
                </m:d>
                <m:r>
                  <m:rPr>
                    <m:sty m:val="p"/>
                  </m:rPr>
                  <w:rPr>
                    <w:rFonts w:ascii="Cambria Math" w:hAnsi="Cambria Math"/>
                    <w:lang w:val="sv-SE"/>
                  </w:rPr>
                  <m:t xml:space="preserve">x </m:t>
                </m:r>
                <m:r>
                  <m:rPr>
                    <m:sty m:val="p"/>
                  </m:rPr>
                  <w:rPr>
                    <w:rFonts w:ascii="Cambria Math" w:hAnsi="Cambria Math" w:cs="Arial"/>
                    <w:lang w:val="sv-SE"/>
                  </w:rPr>
                  <m:t>K1</m:t>
                </m:r>
              </m:oMath>
            </m:oMathPara>
          </w:p>
          <w:p>
            <w:pPr>
              <w:rPr>
                <w:rFonts w:ascii="Arial" w:hAnsi="Arial" w:cs="Arial"/>
                <w:sz w:val="18"/>
                <w:lang w:val="en-US"/>
              </w:rPr>
            </w:pPr>
            <w:r>
              <w:rPr>
                <w:rFonts w:ascii="Arial" w:hAnsi="Arial" w:cs="Arial"/>
                <w:sz w:val="18"/>
                <w:lang w:val="en-US"/>
              </w:rPr>
              <w:t>(23</w:t>
            </w:r>
            <w:r>
              <w:rPr>
                <w:lang w:val="sv-SE"/>
              </w:rPr>
              <w:t xml:space="preserve"> x </w:t>
            </w:r>
            <w:r>
              <w:rPr>
                <w:rFonts w:cs="Arial"/>
                <w:lang w:val="sv-SE"/>
              </w:rPr>
              <w:t>K1</w:t>
            </w:r>
            <w:r>
              <w:rPr>
                <w:rFonts w:ascii="Arial" w:hAnsi="Arial" w:cs="Arial"/>
                <w:sz w:val="18"/>
                <w:lang w:val="en-US"/>
              </w:rPr>
              <w:t>)</w:t>
            </w:r>
          </w:p>
        </w:tc>
        <w:tc>
          <w:tcPr>
            <w:tcW w:w="1860" w:type="dxa"/>
          </w:tcPr>
          <w:p>
            <w:pPr>
              <w:rPr>
                <w:rFonts w:ascii="Arial" w:hAnsi="Arial" w:cs="Arial"/>
                <w:sz w:val="18"/>
              </w:rPr>
            </w:pPr>
            <w:r>
              <w:rPr>
                <w:rFonts w:ascii="Arial" w:hAnsi="Arial" w:cs="Arial"/>
                <w:sz w:val="18"/>
              </w:rPr>
              <w:t>0.32 x M2 x K1 (1 x M2 x K1)</w:t>
            </w:r>
          </w:p>
        </w:tc>
        <w:tc>
          <w:tcPr>
            <w:tcW w:w="1846" w:type="dxa"/>
          </w:tcPr>
          <w:p>
            <w:pPr>
              <w:rPr>
                <w:rFonts w:ascii="Arial" w:hAnsi="Arial" w:cs="Arial"/>
                <w:sz w:val="18"/>
              </w:rPr>
            </w:pPr>
            <w:r>
              <w:rPr>
                <w:rFonts w:ascii="Arial" w:hAnsi="Arial" w:cs="Arial"/>
                <w:sz w:val="18"/>
              </w:rPr>
              <w:t>0.64 x M2 x K1 (2 x M2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198" w:type="dxa"/>
            <w:vMerge w:val="continue"/>
          </w:tcPr>
          <w:p>
            <w:pPr>
              <w:rPr>
                <w:rFonts w:ascii="Arial" w:hAnsi="Arial" w:cs="Arial"/>
                <w:sz w:val="18"/>
                <w:lang w:val="en-US"/>
              </w:rPr>
            </w:pPr>
          </w:p>
        </w:tc>
        <w:tc>
          <w:tcPr>
            <w:tcW w:w="751" w:type="dxa"/>
          </w:tcPr>
          <w:p>
            <w:pPr>
              <w:rPr>
                <w:rFonts w:ascii="Arial" w:hAnsi="Arial" w:cs="Arial"/>
                <w:sz w:val="18"/>
                <w:lang w:val="en-US"/>
              </w:rPr>
            </w:pPr>
            <w:r>
              <w:rPr>
                <w:rFonts w:ascii="Arial" w:hAnsi="Arial" w:cs="Arial"/>
                <w:sz w:val="18"/>
              </w:rPr>
              <w:t>0.64</w:t>
            </w:r>
          </w:p>
        </w:tc>
        <w:tc>
          <w:tcPr>
            <w:tcW w:w="930" w:type="dxa"/>
          </w:tcPr>
          <w:p>
            <w:pPr>
              <w:rPr>
                <w:rFonts w:ascii="Arial" w:hAnsi="Arial" w:cs="Arial"/>
                <w:sz w:val="18"/>
                <w:lang w:val="en-US"/>
              </w:rPr>
            </w:pPr>
            <w:r>
              <w:rPr>
                <w:rFonts w:ascii="Arial" w:hAnsi="Arial" w:cs="Arial"/>
                <w:sz w:val="18"/>
              </w:rPr>
              <w:t>≥3.84 (3)</w:t>
            </w:r>
          </w:p>
        </w:tc>
        <w:tc>
          <w:tcPr>
            <w:tcW w:w="2431" w:type="dxa"/>
            <w:vMerge w:val="continue"/>
          </w:tcPr>
          <w:p>
            <w:pPr>
              <w:rPr>
                <w:rFonts w:ascii="Arial" w:hAnsi="Arial" w:cs="Arial"/>
                <w:sz w:val="18"/>
                <w:lang w:val="en-US"/>
              </w:rPr>
            </w:pPr>
          </w:p>
        </w:tc>
        <w:tc>
          <w:tcPr>
            <w:tcW w:w="1860" w:type="dxa"/>
          </w:tcPr>
          <w:p>
            <w:pPr>
              <w:rPr>
                <w:rFonts w:ascii="Arial" w:hAnsi="Arial" w:cs="Arial"/>
                <w:sz w:val="18"/>
              </w:rPr>
            </w:pPr>
            <w:r>
              <w:rPr>
                <w:rFonts w:ascii="Arial" w:hAnsi="Arial" w:cs="Arial"/>
                <w:sz w:val="18"/>
              </w:rPr>
              <w:t>0.64 x K1 (1 x K1)</w:t>
            </w:r>
          </w:p>
        </w:tc>
        <w:tc>
          <w:tcPr>
            <w:tcW w:w="1846" w:type="dxa"/>
          </w:tcPr>
          <w:p>
            <w:pPr>
              <w:rPr>
                <w:rFonts w:ascii="Arial" w:hAnsi="Arial" w:cs="Arial"/>
                <w:sz w:val="18"/>
              </w:rPr>
            </w:pPr>
            <w:r>
              <w:rPr>
                <w:rFonts w:ascii="Arial" w:hAnsi="Arial" w:cs="Arial"/>
                <w:sz w:val="18"/>
              </w:rPr>
              <w:t>1.28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198" w:type="dxa"/>
            <w:vMerge w:val="continue"/>
          </w:tcPr>
          <w:p>
            <w:pPr>
              <w:rPr>
                <w:rFonts w:ascii="Arial" w:hAnsi="Arial" w:cs="Arial"/>
                <w:sz w:val="18"/>
                <w:lang w:val="en-US"/>
              </w:rPr>
            </w:pPr>
          </w:p>
        </w:tc>
        <w:tc>
          <w:tcPr>
            <w:tcW w:w="751" w:type="dxa"/>
          </w:tcPr>
          <w:p>
            <w:pPr>
              <w:rPr>
                <w:rFonts w:ascii="Arial" w:hAnsi="Arial" w:cs="Arial"/>
                <w:sz w:val="18"/>
                <w:lang w:val="en-US"/>
              </w:rPr>
            </w:pPr>
            <w:r>
              <w:rPr>
                <w:rFonts w:ascii="Arial" w:hAnsi="Arial" w:cs="Arial"/>
                <w:sz w:val="18"/>
              </w:rPr>
              <w:t>1.28</w:t>
            </w:r>
          </w:p>
        </w:tc>
        <w:tc>
          <w:tcPr>
            <w:tcW w:w="930" w:type="dxa"/>
          </w:tcPr>
          <w:p>
            <w:pPr>
              <w:rPr>
                <w:rFonts w:ascii="Arial" w:hAnsi="Arial" w:cs="Arial"/>
                <w:sz w:val="18"/>
                <w:lang w:val="en-US"/>
              </w:rPr>
            </w:pPr>
            <w:r>
              <w:rPr>
                <w:rFonts w:ascii="Arial" w:hAnsi="Arial" w:cs="Arial"/>
                <w:sz w:val="18"/>
              </w:rPr>
              <w:t>≥7.68 (6)</w:t>
            </w:r>
          </w:p>
        </w:tc>
        <w:tc>
          <w:tcPr>
            <w:tcW w:w="2431" w:type="dxa"/>
            <w:vMerge w:val="continue"/>
          </w:tcPr>
          <w:p>
            <w:pPr>
              <w:rPr>
                <w:rFonts w:ascii="Arial" w:hAnsi="Arial" w:cs="Arial"/>
                <w:sz w:val="18"/>
                <w:lang w:val="en-US"/>
              </w:rPr>
            </w:pPr>
          </w:p>
        </w:tc>
        <w:tc>
          <w:tcPr>
            <w:tcW w:w="1860" w:type="dxa"/>
          </w:tcPr>
          <w:p>
            <w:pPr>
              <w:rPr>
                <w:rFonts w:ascii="Arial" w:hAnsi="Arial" w:cs="Arial"/>
                <w:sz w:val="18"/>
              </w:rPr>
            </w:pPr>
            <w:r>
              <w:rPr>
                <w:rFonts w:ascii="Arial" w:hAnsi="Arial" w:cs="Arial"/>
                <w:sz w:val="18"/>
              </w:rPr>
              <w:t>1.28 x K1 (1 x K1)</w:t>
            </w:r>
          </w:p>
        </w:tc>
        <w:tc>
          <w:tcPr>
            <w:tcW w:w="1846" w:type="dxa"/>
          </w:tcPr>
          <w:p>
            <w:pPr>
              <w:rPr>
                <w:rFonts w:ascii="Arial" w:hAnsi="Arial" w:cs="Arial"/>
                <w:sz w:val="18"/>
              </w:rPr>
            </w:pPr>
            <w:r>
              <w:rPr>
                <w:rFonts w:ascii="Arial" w:hAnsi="Arial" w:cs="Arial"/>
                <w:sz w:val="18"/>
              </w:rPr>
              <w:t>2.56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198" w:type="dxa"/>
            <w:vMerge w:val="continue"/>
          </w:tcPr>
          <w:p>
            <w:pPr>
              <w:rPr>
                <w:rFonts w:ascii="Arial" w:hAnsi="Arial" w:cs="Arial"/>
                <w:sz w:val="18"/>
                <w:lang w:val="en-US"/>
              </w:rPr>
            </w:pPr>
          </w:p>
        </w:tc>
        <w:tc>
          <w:tcPr>
            <w:tcW w:w="751" w:type="dxa"/>
          </w:tcPr>
          <w:p>
            <w:pPr>
              <w:rPr>
                <w:rFonts w:ascii="Arial" w:hAnsi="Arial" w:cs="Arial"/>
                <w:sz w:val="18"/>
                <w:lang w:val="en-US"/>
              </w:rPr>
            </w:pPr>
            <w:r>
              <w:rPr>
                <w:rFonts w:ascii="Arial" w:hAnsi="Arial" w:cs="Arial"/>
                <w:sz w:val="18"/>
              </w:rPr>
              <w:t>2.56</w:t>
            </w:r>
          </w:p>
        </w:tc>
        <w:tc>
          <w:tcPr>
            <w:tcW w:w="930" w:type="dxa"/>
          </w:tcPr>
          <w:p>
            <w:pPr>
              <w:rPr>
                <w:rFonts w:ascii="Arial" w:hAnsi="Arial" w:cs="Arial"/>
                <w:sz w:val="18"/>
                <w:lang w:val="en-US"/>
              </w:rPr>
            </w:pPr>
            <w:r>
              <w:rPr>
                <w:rFonts w:ascii="Arial" w:hAnsi="Arial" w:cs="Arial"/>
                <w:sz w:val="18"/>
              </w:rPr>
              <w:t>≥15.36 (12)</w:t>
            </w:r>
          </w:p>
        </w:tc>
        <w:tc>
          <w:tcPr>
            <w:tcW w:w="2431" w:type="dxa"/>
            <w:vMerge w:val="continue"/>
          </w:tcPr>
          <w:p>
            <w:pPr>
              <w:rPr>
                <w:rFonts w:ascii="Arial" w:hAnsi="Arial" w:cs="Arial"/>
                <w:sz w:val="18"/>
                <w:lang w:val="en-US"/>
              </w:rPr>
            </w:pPr>
          </w:p>
        </w:tc>
        <w:tc>
          <w:tcPr>
            <w:tcW w:w="1860" w:type="dxa"/>
          </w:tcPr>
          <w:p>
            <w:pPr>
              <w:rPr>
                <w:rFonts w:ascii="Arial" w:hAnsi="Arial" w:cs="Arial"/>
                <w:sz w:val="18"/>
              </w:rPr>
            </w:pPr>
            <w:r>
              <w:rPr>
                <w:rFonts w:ascii="Arial" w:hAnsi="Arial" w:cs="Arial"/>
                <w:sz w:val="18"/>
              </w:rPr>
              <w:t>2.56 x K1 (1 x K1)</w:t>
            </w:r>
          </w:p>
        </w:tc>
        <w:tc>
          <w:tcPr>
            <w:tcW w:w="1846" w:type="dxa"/>
          </w:tcPr>
          <w:p>
            <w:pPr>
              <w:rPr>
                <w:rFonts w:ascii="Arial" w:hAnsi="Arial" w:cs="Arial"/>
                <w:sz w:val="18"/>
              </w:rPr>
            </w:pPr>
            <w:r>
              <w:rPr>
                <w:rFonts w:ascii="Arial" w:hAnsi="Arial" w:cs="Arial"/>
                <w:sz w:val="18"/>
              </w:rPr>
              <w:t>5.12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016" w:type="dxa"/>
            <w:gridSpan w:val="6"/>
          </w:tcPr>
          <w:p>
            <w:pPr>
              <w:pStyle w:val="90"/>
              <w:rPr>
                <w:snapToGrid w:val="0"/>
              </w:rPr>
            </w:pPr>
            <w:r>
              <w:rPr>
                <w:snapToGrid w:val="0"/>
              </w:rPr>
              <w:t>Note 1</w:t>
            </w:r>
            <w:r>
              <w:t>:</w:t>
            </w:r>
            <w:r>
              <w:rPr>
                <w:lang w:val="en-US"/>
              </w:rPr>
              <w:tab/>
            </w:r>
            <w:r>
              <w:rPr>
                <w:snapToGrid w:val="0"/>
              </w:rPr>
              <w:t>The number of DRX cycles in this table correspond to the DRX cycles within PTWs.</w:t>
            </w:r>
          </w:p>
          <w:p>
            <w:pPr>
              <w:pStyle w:val="90"/>
              <w:rPr>
                <w:snapToGrid w:val="0"/>
              </w:rPr>
            </w:pPr>
            <w:r>
              <w:rPr>
                <w:snapToGrid w:val="0"/>
              </w:rPr>
              <w:t>Note 2</w:t>
            </w:r>
            <w:r>
              <w:t>:</w:t>
            </w:r>
            <w:r>
              <w:rPr>
                <w:lang w:val="en-US"/>
              </w:rPr>
              <w:tab/>
            </w:r>
            <w:r>
              <w:rPr>
                <w:snapToGrid w:val="0"/>
              </w:rPr>
              <w:t xml:space="preserve">The eDRX_IDLE cycle lengths are as specified in Section 10.5.5.32 of TS 24.008 </w:t>
            </w:r>
            <w:r>
              <w:rPr>
                <w:rFonts w:hint="eastAsia"/>
                <w:lang w:eastAsia="zh-CN"/>
              </w:rPr>
              <w:t>[39]</w:t>
            </w:r>
            <w:r>
              <w:rPr>
                <w:snapToGrid w:val="0"/>
              </w:rPr>
              <w:t>.</w:t>
            </w:r>
          </w:p>
          <w:p>
            <w:pPr>
              <w:pStyle w:val="90"/>
              <w:rPr>
                <w:rFonts w:cs="Arial"/>
                <w:iCs/>
              </w:rPr>
            </w:pPr>
            <w:r>
              <w:rPr>
                <w:snapToGrid w:val="0"/>
              </w:rPr>
              <w:t>Note</w:t>
            </w:r>
            <w:r>
              <w:rPr>
                <w:rFonts w:cs="Arial"/>
              </w:rPr>
              <w:t xml:space="preserve"> 3:</w:t>
            </w:r>
            <w:r>
              <w:rPr>
                <w:lang w:val="en-US"/>
              </w:rPr>
              <w:t xml:space="preserve"> </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ins w:id="14" w:author="Wu Yan (ZTE)" w:date="2024-10-31T15:14:45Z">
              <w:r>
                <w:rPr>
                  <w:snapToGrid w:val="0"/>
                  <w:vertAlign w:val="subscript"/>
                </w:rPr>
                <w:t>_Relax</w:t>
              </w:r>
            </w:ins>
            <w:r>
              <w:rPr>
                <w:snapToGrid w:val="0"/>
              </w:rPr>
              <w:t xml:space="preserve"> is expected.</w:t>
            </w:r>
          </w:p>
          <w:p>
            <w:pPr>
              <w:pStyle w:val="90"/>
              <w:rPr>
                <w:snapToGrid w:val="0"/>
              </w:rPr>
            </w:pPr>
            <w:r>
              <w:rPr>
                <w:snapToGrid w:val="0"/>
              </w:rPr>
              <w:t>Note 5:</w:t>
            </w:r>
            <w:r>
              <w:rPr>
                <w:snapToGrid w:val="0"/>
              </w:rPr>
              <w:tab/>
            </w:r>
            <w:r>
              <w:rPr>
                <w:snapToGrid w:val="0"/>
              </w:rPr>
              <w:t xml:space="preserve">K1 = 3 is the measurement relaxation factor applicable for UE fulfilling the </w:t>
            </w:r>
            <w:r>
              <w:rPr>
                <w:i/>
                <w:iCs/>
              </w:rPr>
              <w:t xml:space="preserve">cellEdgeEvaluation </w:t>
            </w:r>
            <w:r>
              <w:rPr>
                <w:snapToGrid w:val="0"/>
              </w:rPr>
              <w:t>[2] criterion.</w:t>
            </w:r>
          </w:p>
        </w:tc>
      </w:tr>
    </w:tbl>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4.2B.2.11.2</w:t>
      </w:r>
      <w:r>
        <w:rPr>
          <w:lang w:val="en-US"/>
        </w:rPr>
        <w:tab/>
      </w:r>
      <w:r>
        <w:rPr>
          <w:lang w:val="en-US"/>
        </w:rPr>
        <w:t>Measurements for UE fulfilling stationary criterion</w:t>
      </w:r>
    </w:p>
    <w:p>
      <w:r>
        <w:rPr>
          <w:lang w:val="en-US"/>
        </w:rPr>
        <w:t xml:space="preserve">This clause contains requirements </w:t>
      </w:r>
      <w:r>
        <w:t>for measurements on inter-RAT E-UTRAN cells provided that:</w:t>
      </w:r>
    </w:p>
    <w:p>
      <w:pPr>
        <w:pStyle w:val="99"/>
      </w:pPr>
      <w:r>
        <w:t>-</w:t>
      </w:r>
      <w:r>
        <w:tab/>
      </w:r>
      <w:r>
        <w:rPr>
          <w:lang w:eastAsia="zh-CN"/>
        </w:rPr>
        <w:t xml:space="preserve">UE is configured with </w:t>
      </w:r>
      <w:r>
        <w:rPr>
          <w:i/>
          <w:iCs/>
          <w:lang w:eastAsia="zh-CN"/>
        </w:rPr>
        <w:t xml:space="preserve">stationaryMobilityEvaluation </w:t>
      </w:r>
      <w:r>
        <w:rPr>
          <w:lang w:eastAsia="zh-CN"/>
        </w:rPr>
        <w:t xml:space="preserve">[2] criterion and UE is not configured with </w:t>
      </w:r>
      <w:r>
        <w:rPr>
          <w:i/>
          <w:lang w:eastAsia="zh-CN"/>
        </w:rPr>
        <w:t xml:space="preserve">cellEdgeEvaluationWhileStationary </w:t>
      </w:r>
      <w:r>
        <w:rPr>
          <w:lang w:eastAsia="zh-CN"/>
        </w:rPr>
        <w:t xml:space="preserve">[2] criterion and UE has fulfilled the </w:t>
      </w:r>
      <w:r>
        <w:rPr>
          <w:i/>
          <w:iCs/>
          <w:lang w:eastAsia="zh-CN"/>
        </w:rPr>
        <w:t xml:space="preserve">stationaryMobilityEvaluation </w:t>
      </w:r>
      <w:r>
        <w:rPr>
          <w:lang w:eastAsia="zh-CN"/>
        </w:rPr>
        <w:t>[2] criterion, or</w:t>
      </w:r>
      <w:r>
        <w:t xml:space="preserve"> </w:t>
      </w:r>
    </w:p>
    <w:p>
      <w:pPr>
        <w:pStyle w:val="99"/>
      </w:pPr>
      <w:r>
        <w:t>-</w:t>
      </w:r>
      <w:r>
        <w:tab/>
      </w:r>
      <w:r>
        <w:t xml:space="preserve">UE is configured with both </w:t>
      </w:r>
      <w:r>
        <w:rPr>
          <w:i/>
        </w:rPr>
        <w:t xml:space="preserve">stationaryMobilityEvaluation </w:t>
      </w:r>
      <w:r>
        <w:t xml:space="preserve">[2] criterion and </w:t>
      </w:r>
      <w:r>
        <w:rPr>
          <w:i/>
        </w:rPr>
        <w:t xml:space="preserve">cellEdgeEvaluationWhileStationary </w:t>
      </w:r>
      <w:r>
        <w:t xml:space="preserve">[2] criterion and </w:t>
      </w:r>
      <w:r>
        <w:rPr>
          <w:i/>
        </w:rPr>
        <w:t xml:space="preserve">combineRelaxedMeasCondition2 </w:t>
      </w:r>
      <w:r>
        <w:t xml:space="preserve">[2] is not configured, and UE has fulfilled only the </w:t>
      </w:r>
      <w:r>
        <w:rPr>
          <w:i/>
        </w:rPr>
        <w:t xml:space="preserve">stationaryMobilityEvaluation </w:t>
      </w:r>
      <w:r>
        <w:t>[2] criterion</w:t>
      </w:r>
    </w:p>
    <w:p>
      <w:r>
        <w:rPr>
          <w:rFonts w:hint="eastAsia"/>
        </w:rPr>
        <w:t>W</w:t>
      </w:r>
      <w:r>
        <w:t xml:space="preserve">hen </w:t>
      </w:r>
      <w:r>
        <w:rPr>
          <w:rFonts w:eastAsiaTheme="minorEastAsia"/>
        </w:rPr>
        <w:t>S</w:t>
      </w:r>
      <w:r>
        <w:rPr>
          <w:rFonts w:eastAsiaTheme="minorEastAsia"/>
          <w:vertAlign w:val="subscript"/>
        </w:rPr>
        <w:t>rxlev</w:t>
      </w:r>
      <w:r>
        <w:rPr>
          <w:rFonts w:eastAsiaTheme="minorEastAsia"/>
        </w:rPr>
        <w:t xml:space="preserve"> </w:t>
      </w:r>
      <w:r>
        <w:t>≤</w:t>
      </w:r>
      <w:r>
        <w:rPr>
          <w:rFonts w:eastAsiaTheme="minorEastAsia"/>
        </w:rPr>
        <w:t xml:space="preserve"> S</w:t>
      </w:r>
      <w:r>
        <w:rPr>
          <w:rFonts w:eastAsiaTheme="minorEastAsia"/>
          <w:vertAlign w:val="subscript"/>
        </w:rPr>
        <w:t>nonIntraSearchP</w:t>
      </w:r>
      <w:r>
        <w:rPr>
          <w:rFonts w:eastAsiaTheme="minorEastAsia"/>
        </w:rPr>
        <w:t xml:space="preserve"> or S</w:t>
      </w:r>
      <w:r>
        <w:rPr>
          <w:rFonts w:eastAsiaTheme="minorEastAsia"/>
          <w:vertAlign w:val="subscript"/>
        </w:rPr>
        <w:t>qual</w:t>
      </w:r>
      <w:r>
        <w:rPr>
          <w:rFonts w:eastAsiaTheme="minorEastAsia"/>
        </w:rPr>
        <w:t xml:space="preserve"> </w:t>
      </w:r>
      <w:r>
        <w:t>≤</w:t>
      </w:r>
      <w:r>
        <w:rPr>
          <w:rFonts w:eastAsiaTheme="minorEastAsia"/>
        </w:rPr>
        <w:t xml:space="preserve"> S</w:t>
      </w:r>
      <w:r>
        <w:rPr>
          <w:rFonts w:eastAsiaTheme="minorEastAsia"/>
          <w:vertAlign w:val="subscript"/>
        </w:rPr>
        <w:t>nonIntraSearchQ</w:t>
      </w:r>
      <w:r>
        <w:rPr>
          <w:rFonts w:eastAsiaTheme="minorEastAsia"/>
        </w:rPr>
        <w:t xml:space="preserve"> </w:t>
      </w:r>
      <w:r>
        <w:rPr>
          <w:rFonts w:hint="eastAsia" w:eastAsiaTheme="minorEastAsia"/>
        </w:rPr>
        <w:t>then t</w:t>
      </w:r>
      <w:r>
        <w:rPr>
          <w:rFonts w:eastAsiaTheme="minorEastAsia"/>
        </w:rPr>
        <w:t>h</w:t>
      </w:r>
      <w:r>
        <w:t>e requirements defined in clause 4.2B.2.5 apply for this clause except that:</w:t>
      </w:r>
    </w:p>
    <w:p>
      <w:pPr>
        <w:pStyle w:val="99"/>
      </w:pPr>
      <w:r>
        <w:t>-</w:t>
      </w:r>
      <w:r>
        <w:tab/>
      </w:r>
      <w:r>
        <w:t>For a UE not configured with eDRX_IDLE,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4.2B.2.11.2-1</w:t>
      </w:r>
      <w:r>
        <w:t>.</w:t>
      </w:r>
    </w:p>
    <w:p>
      <w:pPr>
        <w:pStyle w:val="99"/>
      </w:pPr>
      <w:r>
        <w:t>-</w:t>
      </w:r>
      <w:r>
        <w:tab/>
      </w:r>
      <w:r>
        <w:t>For a UE configured with eDRX_IDLE up-to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4.2B.2.11.2-2</w:t>
      </w:r>
      <w:r>
        <w:t>.</w:t>
      </w:r>
    </w:p>
    <w:p>
      <w:pPr>
        <w:pStyle w:val="99"/>
      </w:pPr>
      <w:r>
        <w:t>-</w:t>
      </w:r>
      <w:r>
        <w:tab/>
      </w:r>
      <w:r>
        <w:t>For a UE configured with eDRX_IDLE greater than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 xml:space="preserve">Table 4.2B.2.11.2-3, </w:t>
      </w:r>
      <w:r>
        <w:t xml:space="preserve">provided eDRX_IDLE cycle is </w:t>
      </w:r>
      <w:r>
        <w:rPr>
          <w:rFonts w:hint="eastAsia"/>
        </w:rPr>
        <w:t>≤</w:t>
      </w:r>
      <w:r>
        <w:t xml:space="preserve"> [163.84] sec and evaluation/measurement time with relaxation on one carrier is not greater than single PTW window length.</w:t>
      </w:r>
    </w:p>
    <w:p>
      <w:r>
        <w:t>When Srxlev &gt; S</w:t>
      </w:r>
      <w:r>
        <w:rPr>
          <w:vertAlign w:val="subscript"/>
        </w:rPr>
        <w:t>nonIntraSearchP</w:t>
      </w:r>
      <w:r>
        <w:t xml:space="preserve"> and Squal &gt; S</w:t>
      </w:r>
      <w:r>
        <w:rPr>
          <w:vertAlign w:val="subscript"/>
        </w:rPr>
        <w:t>nonIntraSearchQ</w:t>
      </w:r>
      <w:r>
        <w:t xml:space="preserve"> then the UE shall search for E-UTRA inter-</w:t>
      </w:r>
      <w:r>
        <w:rPr>
          <w:rFonts w:hint="eastAsia"/>
        </w:rPr>
        <w:t xml:space="preserve">RAT </w:t>
      </w:r>
      <w:r>
        <w:t>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4.2.2.7 and, </w:t>
      </w:r>
      <w:r>
        <w:rPr>
          <w:snapToGrid w:val="0"/>
        </w:rPr>
        <w:t>K2 = 240</w:t>
      </w:r>
      <w:r>
        <w:t>.</w:t>
      </w:r>
    </w:p>
    <w:p>
      <w:pPr>
        <w:pStyle w:val="79"/>
        <w:rPr>
          <w:snapToGrid w:val="0"/>
        </w:rPr>
      </w:pPr>
      <w:r>
        <w:rPr>
          <w:snapToGrid w:val="0"/>
        </w:rPr>
        <w:t xml:space="preserve">Table 4.2B.2.11.2-1: </w:t>
      </w:r>
      <w:r>
        <w:t>T</w:t>
      </w:r>
      <w:r>
        <w:rPr>
          <w:vertAlign w:val="subscript"/>
        </w:rPr>
        <w:t>detect,EUTRAN_RedCap_Relax</w:t>
      </w:r>
      <w:r>
        <w:rPr>
          <w:snapToGrid w:val="0"/>
        </w:rPr>
        <w:t xml:space="preserve">, </w:t>
      </w:r>
      <w:r>
        <w:t>T</w:t>
      </w:r>
      <w:r>
        <w:rPr>
          <w:vertAlign w:val="subscript"/>
        </w:rPr>
        <w:t>measure,EUTRAN_RedCap_Relax,</w:t>
      </w:r>
      <w:r>
        <w:t xml:space="preserve"> and </w:t>
      </w:r>
      <w:r>
        <w:rPr>
          <w:rFonts w:cs="v4.2.0"/>
        </w:rPr>
        <w:t>T</w:t>
      </w:r>
      <w:r>
        <w:rPr>
          <w:rFonts w:cs="v4.2.0"/>
          <w:vertAlign w:val="subscript"/>
        </w:rPr>
        <w:t>evaluate,EUTRAN</w:t>
      </w:r>
      <w:r>
        <w:rPr>
          <w:vertAlign w:val="subscript"/>
        </w:rPr>
        <w:t>_RedCap_Relax</w:t>
      </w:r>
      <w:r>
        <w:rPr>
          <w:snapToGrid w:val="0"/>
        </w:rPr>
        <w:t xml:space="preserve">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8"/>
        <w:gridCol w:w="3063"/>
        <w:gridCol w:w="319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pPr>
            <w:r>
              <w:t>DRX cycle length [s]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Change w:id="15" w:author="Wu Yan (ZTE)" w:date="2024-10-31T14:58:37Z">
                  <w:rPr/>
                </w:rPrChange>
              </w:rPr>
              <w:t>detect,EUTRAN</w:t>
            </w:r>
            <w:ins w:id="16" w:author="Wu Yan (ZTE)" w:date="2024-10-31T14:58:41Z">
              <w:r>
                <w:rPr>
                  <w:vertAlign w:val="subscript"/>
                </w:rPr>
                <w:t>_RedCap</w:t>
              </w:r>
            </w:ins>
            <w:r>
              <w:rPr>
                <w:vertAlign w:val="subscript"/>
                <w:rPrChange w:id="17" w:author="Wu Yan (ZTE)" w:date="2024-10-31T14:58:37Z">
                  <w:rPr/>
                </w:rPrChange>
              </w:rPr>
              <w:t>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Change w:id="18" w:author="Wu Yan (ZTE)" w:date="2024-10-31T14:58:47Z">
                  <w:rPr/>
                </w:rPrChange>
              </w:rPr>
              <w:t>measure,EUTRAN</w:t>
            </w:r>
            <w:ins w:id="19" w:author="Wu Yan (ZTE)" w:date="2024-10-31T14:58:52Z">
              <w:r>
                <w:rPr>
                  <w:vertAlign w:val="subscript"/>
                </w:rPr>
                <w:t>_RedCap</w:t>
              </w:r>
            </w:ins>
            <w:r>
              <w:rPr>
                <w:vertAlign w:val="subscript"/>
                <w:rPrChange w:id="20" w:author="Wu Yan (ZTE)" w:date="2024-10-31T14:58:47Z">
                  <w:rPr/>
                </w:rPrChange>
              </w:rPr>
              <w:t>_Relax</w:t>
            </w:r>
            <w:r>
              <w:t xml:space="preserve"> [s] (number of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Change w:id="21" w:author="Wu Yan (ZTE)" w:date="2024-10-31T14:58:58Z">
                  <w:rPr/>
                </w:rPrChange>
              </w:rPr>
              <w:t>evaluate,EUTRAN</w:t>
            </w:r>
            <w:ins w:id="22" w:author="Wu Yan (ZTE)" w:date="2024-10-31T14:59:01Z">
              <w:r>
                <w:rPr>
                  <w:vertAlign w:val="subscript"/>
                </w:rPr>
                <w:t>_RedCap</w:t>
              </w:r>
            </w:ins>
            <w:r>
              <w:rPr>
                <w:vertAlign w:val="subscript"/>
                <w:rPrChange w:id="23" w:author="Wu Yan (ZTE)" w:date="2024-10-31T14:58:58Z">
                  <w:rPr/>
                </w:rPrChange>
              </w:rPr>
              <w:t>_Relax</w:t>
            </w:r>
          </w:p>
          <w:p>
            <w:pPr>
              <w:pStyle w:val="75"/>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0.32</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11.52 x K3 (36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 x K3 (4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5.12 x K3 (16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0.64</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17.92 x K3 (28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 x K3 (2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5.12 x K3 (8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32 x K3 (25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1.28 x K3 (1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6.4 x K3 (5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2.56</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58.88 x K3 (23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2.56 x K3 (1 x K3)</w:t>
            </w:r>
          </w:p>
        </w:tc>
        <w:tc>
          <w:tcPr>
            <w:tcW w:w="0" w:type="auto"/>
            <w:tcBorders>
              <w:top w:val="single" w:color="auto" w:sz="4" w:space="0"/>
              <w:left w:val="single" w:color="auto" w:sz="4" w:space="0"/>
              <w:bottom w:val="single" w:color="auto" w:sz="4" w:space="0"/>
              <w:right w:val="single" w:color="auto" w:sz="4" w:space="0"/>
            </w:tcBorders>
          </w:tcPr>
          <w:p>
            <w:pPr>
              <w:pStyle w:val="75"/>
              <w:rPr>
                <w:b w:val="0"/>
                <w:bCs/>
              </w:rPr>
            </w:pPr>
            <w:r>
              <w:rPr>
                <w:b w:val="0"/>
                <w:bCs/>
              </w:rPr>
              <w:t>7.68 x K3 (3 x K3)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90"/>
            </w:pPr>
            <w:bookmarkStart w:id="4" w:name="_Hlk149645245"/>
            <w:r>
              <w:rPr>
                <w:snapToGrid w:val="0"/>
              </w:rPr>
              <w:t>Note 1:</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bookmarkEnd w:id="4"/>
    </w:tbl>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4.2B.2.11.3</w:t>
      </w:r>
      <w:r>
        <w:rPr>
          <w:lang w:val="en-US"/>
        </w:rPr>
        <w:tab/>
      </w:r>
      <w:r>
        <w:rPr>
          <w:lang w:val="en-US"/>
        </w:rPr>
        <w:t>Measurements for a UE not-at-cell edge while stationary criterion</w:t>
      </w:r>
    </w:p>
    <w:p>
      <w:r>
        <w:rPr>
          <w:lang w:val="en-US"/>
        </w:rPr>
        <w:t xml:space="preserve">This clause contains requirements </w:t>
      </w:r>
      <w:r>
        <w:t>for measurements on inter-RAT E-UTRAN cells provided that:</w:t>
      </w:r>
    </w:p>
    <w:p>
      <w:pPr>
        <w:pStyle w:val="99"/>
      </w:pPr>
      <w:r>
        <w:t>-</w:t>
      </w:r>
      <w:r>
        <w:tab/>
      </w:r>
      <w:r>
        <w:t xml:space="preserve">UE is configured with both </w:t>
      </w:r>
      <w:r>
        <w:rPr>
          <w:i/>
          <w:iCs/>
        </w:rPr>
        <w:t xml:space="preserve">stationaryMobilityEvaluation </w:t>
      </w:r>
      <w:r>
        <w:t xml:space="preserve">[2] criterion and </w:t>
      </w:r>
      <w:r>
        <w:rPr>
          <w:i/>
        </w:rPr>
        <w:t xml:space="preserve">cellEdgeEvaluationWhileStationary </w:t>
      </w:r>
      <w:r>
        <w:t>[2] criterion, and has fulfilled both criteria, and</w:t>
      </w:r>
    </w:p>
    <w:p>
      <w:pPr>
        <w:pStyle w:val="99"/>
      </w:pPr>
      <w:r>
        <w:t>-</w:t>
      </w:r>
      <w:r>
        <w:tab/>
      </w:r>
      <w:r>
        <w:t>less than 4 hours have passed since measurements for cell reselection were last performed.</w:t>
      </w:r>
    </w:p>
    <w:p>
      <w:r>
        <w:t>In this case the UE is not required to meet T</w:t>
      </w:r>
      <w:r>
        <w:rPr>
          <w:vertAlign w:val="subscript"/>
        </w:rPr>
        <w:t>detect,EUTRAN</w:t>
      </w:r>
      <w:ins w:id="24" w:author="Wu Yan (ZTE)" w:date="2024-10-31T15:01:19Z">
        <w:r>
          <w:rPr>
            <w:vertAlign w:val="subscript"/>
          </w:rPr>
          <w:t>_RedCap</w:t>
        </w:r>
      </w:ins>
      <w:r>
        <w:rPr>
          <w:vertAlign w:val="subscript"/>
        </w:rPr>
        <w:t>,</w:t>
      </w:r>
      <w:r>
        <w:t xml:space="preserve"> T</w:t>
      </w:r>
      <w:r>
        <w:rPr>
          <w:vertAlign w:val="subscript"/>
        </w:rPr>
        <w:t>measure,EUTRAN</w:t>
      </w:r>
      <w:ins w:id="25" w:author="Wu Yan (ZTE)" w:date="2024-10-31T15:01:23Z">
        <w:r>
          <w:rPr>
            <w:vertAlign w:val="subscript"/>
          </w:rPr>
          <w:t>_RedCap</w:t>
        </w:r>
      </w:ins>
      <w:r>
        <w:t xml:space="preserve"> and T</w:t>
      </w:r>
      <w:r>
        <w:rPr>
          <w:vertAlign w:val="subscript"/>
        </w:rPr>
        <w:t>evaluate,EUTRAN</w:t>
      </w:r>
      <w:ins w:id="26" w:author="Wu Yan (ZTE)" w:date="2024-10-31T15:01:26Z">
        <w:r>
          <w:rPr>
            <w:vertAlign w:val="subscript"/>
          </w:rPr>
          <w:t>_RedCap</w:t>
        </w:r>
      </w:ins>
      <w:r>
        <w:t xml:space="preserve"> as defined in clause 4.2B.2.5. </w:t>
      </w:r>
    </w:p>
    <w:p>
      <w:r>
        <w:rPr>
          <w:rFonts w:hint="eastAsia"/>
        </w:rPr>
        <w:t>W</w:t>
      </w:r>
      <w:r>
        <w:t>hen S</w:t>
      </w:r>
      <w:r>
        <w:rPr>
          <w:vertAlign w:val="subscript"/>
        </w:rPr>
        <w:t>rxlev</w:t>
      </w:r>
      <w:r>
        <w:t xml:space="preserve"> ≤ S</w:t>
      </w:r>
      <w:r>
        <w:rPr>
          <w:vertAlign w:val="subscript"/>
        </w:rPr>
        <w:t>nonIntraSearchP</w:t>
      </w:r>
      <w:r>
        <w:t xml:space="preserve"> or S</w:t>
      </w:r>
      <w:r>
        <w:rPr>
          <w:vertAlign w:val="subscript"/>
        </w:rPr>
        <w:t>qual</w:t>
      </w:r>
      <w:r>
        <w:t xml:space="preserve"> ≤ S</w:t>
      </w:r>
      <w:r>
        <w:rPr>
          <w:vertAlign w:val="subscript"/>
        </w:rPr>
        <w:t>nonIntraSearchQ</w:t>
      </w:r>
      <w:r>
        <w:t>, the UE shall search for, measure and evaluate inter-RAT E-UTRAN layers of higher or lower priority at least every 4 hour.</w:t>
      </w:r>
    </w:p>
    <w:p>
      <w:r>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shall search for inter-RAT E-UTRAN of higher priority at least every K2*T</w:t>
      </w:r>
      <w:r>
        <w:rPr>
          <w:vertAlign w:val="subscript"/>
        </w:rPr>
        <w:t xml:space="preserve">higher_priority_search </w:t>
      </w:r>
      <w:r>
        <w:t>where T</w:t>
      </w:r>
      <w:r>
        <w:rPr>
          <w:vertAlign w:val="subscript"/>
        </w:rPr>
        <w:t>higher_priority_search</w:t>
      </w:r>
      <w:r>
        <w:t xml:space="preserve"> is described in clause 4.2.2.7 and K2=240. </w:t>
      </w:r>
    </w:p>
    <w:p>
      <w:r>
        <w:rPr>
          <w:rFonts w:hint="eastAsia"/>
        </w:rPr>
        <w:t>T</w:t>
      </w:r>
      <w:r>
        <w:t xml:space="preserve">he requirments defined in this clause apply regardless of </w:t>
      </w:r>
      <w:r>
        <w:rPr>
          <w:rFonts w:cs="v4.2.0"/>
        </w:rPr>
        <w:t>eDRX_IDLE configurations.</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6</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7</w:t>
      </w:r>
      <w:r>
        <w:rPr>
          <w:rFonts w:eastAsia="宋体"/>
          <w:highlight w:val="yellow"/>
          <w:lang w:eastAsia="zh-CN"/>
        </w:rPr>
        <w:t>&gt;</w:t>
      </w:r>
    </w:p>
    <w:p>
      <w:pPr>
        <w:jc w:val="center"/>
        <w:rPr>
          <w:rFonts w:eastAsia="宋体"/>
          <w:highlight w:val="yellow"/>
          <w:lang w:eastAsia="zh-CN"/>
        </w:rPr>
      </w:pPr>
    </w:p>
    <w:p>
      <w:pPr>
        <w:pStyle w:val="6"/>
        <w:rPr>
          <w:lang w:val="en-US"/>
        </w:rPr>
      </w:pPr>
      <w:r>
        <w:rPr>
          <w:lang w:val="en-US"/>
        </w:rPr>
        <w:t>4.2B.2.11.9</w:t>
      </w:r>
      <w:r>
        <w:rPr>
          <w:lang w:val="en-US"/>
        </w:rPr>
        <w:tab/>
      </w:r>
      <w:r>
        <w:rPr>
          <w:lang w:val="en-US"/>
        </w:rPr>
        <w:t>Measurements for UE fulfilling low mobility criterion</w:t>
      </w:r>
    </w:p>
    <w:p>
      <w:pPr>
        <w:rPr>
          <w:rFonts w:eastAsiaTheme="minorEastAsia"/>
        </w:rPr>
      </w:pPr>
      <w:r>
        <w:rPr>
          <w:lang w:val="en-US"/>
        </w:rPr>
        <w:t xml:space="preserve">This clause contains requirements </w:t>
      </w:r>
      <w:r>
        <w:rPr>
          <w:rFonts w:eastAsiaTheme="minorEastAsia"/>
        </w:rPr>
        <w:t xml:space="preserve">for measurements on </w:t>
      </w:r>
      <w:r>
        <w:t>inter-RAT E-UTRAN cells</w:t>
      </w:r>
      <w:r>
        <w:rPr>
          <w:rFonts w:eastAsiaTheme="minorEastAsia"/>
        </w:rPr>
        <w:t xml:space="preserve"> provided that:</w:t>
      </w:r>
    </w:p>
    <w:p>
      <w:pPr>
        <w:pStyle w:val="99"/>
      </w:pPr>
      <w:r>
        <w:t>-</w:t>
      </w:r>
      <w:r>
        <w:tab/>
      </w:r>
      <w:r>
        <w:rPr>
          <w:lang w:eastAsia="zh-CN"/>
        </w:rPr>
        <w:t xml:space="preserve">UE is configured with </w:t>
      </w:r>
      <w:r>
        <w:rPr>
          <w:i/>
          <w:iCs/>
          <w:lang w:eastAsia="zh-CN"/>
        </w:rPr>
        <w:t>lowMobilityEvalutation</w:t>
      </w:r>
      <w:r>
        <w:rPr>
          <w:lang w:eastAsia="zh-CN"/>
        </w:rPr>
        <w:t xml:space="preserve"> [2] criterion and UE is not configured with </w:t>
      </w:r>
      <w:r>
        <w:rPr>
          <w:i/>
          <w:iCs/>
          <w:lang w:eastAsia="zh-CN"/>
        </w:rPr>
        <w:t xml:space="preserve">cellEdgeEvaluation </w:t>
      </w:r>
      <w:r>
        <w:rPr>
          <w:lang w:eastAsia="zh-CN"/>
        </w:rPr>
        <w:t xml:space="preserve">[2] criterion and UE has fulfilled the </w:t>
      </w:r>
      <w:r>
        <w:rPr>
          <w:i/>
          <w:iCs/>
          <w:lang w:eastAsia="zh-CN"/>
        </w:rPr>
        <w:t>lowMobilityEvalutation</w:t>
      </w:r>
      <w:r>
        <w:rPr>
          <w:lang w:eastAsia="zh-CN"/>
        </w:rPr>
        <w:t xml:space="preserve"> [2] criterion, or</w:t>
      </w:r>
      <w:r>
        <w:t xml:space="preserve"> </w:t>
      </w:r>
    </w:p>
    <w:p>
      <w:pPr>
        <w:pStyle w:val="99"/>
      </w:pPr>
      <w:r>
        <w:t>-</w:t>
      </w:r>
      <w:r>
        <w:tab/>
      </w:r>
      <w:r>
        <w:t xml:space="preserve">UE is configured with both </w:t>
      </w:r>
      <w:r>
        <w:rPr>
          <w:i/>
          <w:iCs/>
        </w:rPr>
        <w:t>lowMobilityEvalutation</w:t>
      </w:r>
      <w:r>
        <w:t xml:space="preserve"> [2] criterion and </w:t>
      </w:r>
      <w:r>
        <w:rPr>
          <w:i/>
          <w:iCs/>
        </w:rPr>
        <w:t xml:space="preserve">cellEdgeEvaluation </w:t>
      </w:r>
      <w:r>
        <w:t xml:space="preserve">[2] criterion and </w:t>
      </w:r>
      <w:r>
        <w:rPr>
          <w:i/>
        </w:rPr>
        <w:t>combineRelaxedMeasCondition</w:t>
      </w:r>
      <w:r>
        <w:rPr>
          <w:rFonts w:hint="eastAsia"/>
        </w:rPr>
        <w:t xml:space="preserve"> </w:t>
      </w:r>
      <w:r>
        <w:t xml:space="preserve">[2] is not configured, and UE has fulfilled only the </w:t>
      </w:r>
      <w:r>
        <w:rPr>
          <w:i/>
          <w:iCs/>
        </w:rPr>
        <w:t>lowMobilityEvalutation</w:t>
      </w:r>
      <w:r>
        <w:t xml:space="preserve"> [2] criterion.</w:t>
      </w:r>
    </w:p>
    <w:p>
      <w:r>
        <w:rPr>
          <w:rFonts w:hint="eastAsia"/>
        </w:rPr>
        <w:t>W</w:t>
      </w:r>
      <w:r>
        <w:t xml:space="preserve">hen </w:t>
      </w:r>
      <w:r>
        <w:rPr>
          <w:rFonts w:eastAsiaTheme="minorEastAsia"/>
        </w:rPr>
        <w:t>S</w:t>
      </w:r>
      <w:r>
        <w:rPr>
          <w:rFonts w:eastAsiaTheme="minorEastAsia"/>
          <w:vertAlign w:val="subscript"/>
        </w:rPr>
        <w:t>rxlev</w:t>
      </w:r>
      <w:r>
        <w:rPr>
          <w:rFonts w:eastAsiaTheme="minorEastAsia"/>
        </w:rPr>
        <w:t xml:space="preserve"> </w:t>
      </w:r>
      <w:r>
        <w:t>≤</w:t>
      </w:r>
      <w:r>
        <w:rPr>
          <w:rFonts w:eastAsiaTheme="minorEastAsia"/>
        </w:rPr>
        <w:t xml:space="preserve"> S</w:t>
      </w:r>
      <w:r>
        <w:rPr>
          <w:rFonts w:eastAsiaTheme="minorEastAsia"/>
          <w:vertAlign w:val="subscript"/>
        </w:rPr>
        <w:t>nonIntraSearchP</w:t>
      </w:r>
      <w:r>
        <w:rPr>
          <w:rFonts w:eastAsiaTheme="minorEastAsia"/>
        </w:rPr>
        <w:t xml:space="preserve"> and S</w:t>
      </w:r>
      <w:r>
        <w:rPr>
          <w:rFonts w:eastAsiaTheme="minorEastAsia"/>
          <w:vertAlign w:val="subscript"/>
        </w:rPr>
        <w:t>qual</w:t>
      </w:r>
      <w:r>
        <w:rPr>
          <w:rFonts w:eastAsiaTheme="minorEastAsia"/>
        </w:rPr>
        <w:t xml:space="preserve"> </w:t>
      </w:r>
      <w:r>
        <w:t>≤</w:t>
      </w:r>
      <w:r>
        <w:rPr>
          <w:rFonts w:eastAsiaTheme="minorEastAsia"/>
        </w:rPr>
        <w:t xml:space="preserve"> S</w:t>
      </w:r>
      <w:r>
        <w:rPr>
          <w:rFonts w:eastAsiaTheme="minorEastAsia"/>
          <w:vertAlign w:val="subscript"/>
        </w:rPr>
        <w:t>nonIntraSearchQ</w:t>
      </w:r>
      <w:r>
        <w:t xml:space="preserve"> </w:t>
      </w:r>
      <w:r>
        <w:rPr>
          <w:rFonts w:hint="eastAsia"/>
        </w:rPr>
        <w:t>then</w:t>
      </w:r>
      <w:r>
        <w:t xml:space="preserve"> the requirements defined in clause 4.2B.2.5 apply for this clause except that:</w:t>
      </w:r>
    </w:p>
    <w:p>
      <w:pPr>
        <w:pStyle w:val="99"/>
      </w:pPr>
      <w:r>
        <w:t>-</w:t>
      </w:r>
      <w:r>
        <w:tab/>
      </w:r>
      <w:r>
        <w:t>For a UE not configured with eDRX_IDLE,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4.2B.2.11.9-1</w:t>
      </w:r>
      <w:r>
        <w:t>.</w:t>
      </w:r>
    </w:p>
    <w:p>
      <w:pPr>
        <w:pStyle w:val="99"/>
      </w:pPr>
      <w:r>
        <w:t>-</w:t>
      </w:r>
      <w:r>
        <w:tab/>
      </w:r>
      <w:r>
        <w:t>For a UE configured with eDRX_IDLE up-to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Table 4.2B.2.11.9-2</w:t>
      </w:r>
      <w:r>
        <w:t>.</w:t>
      </w:r>
    </w:p>
    <w:p>
      <w:pPr>
        <w:pStyle w:val="99"/>
      </w:pPr>
      <w:r>
        <w:t>-</w:t>
      </w:r>
      <w:r>
        <w:tab/>
      </w:r>
      <w:r>
        <w:t>For a UE configured with eDRX_IDLE greater than 10.24s, T</w:t>
      </w:r>
      <w:r>
        <w:rPr>
          <w:vertAlign w:val="subscript"/>
        </w:rPr>
        <w:t>detect,EUTRAN_RedCap_Relax</w:t>
      </w:r>
      <w:r>
        <w:t xml:space="preserve">, </w:t>
      </w:r>
      <w:r>
        <w:rPr>
          <w:rFonts w:cs="v4.2.0"/>
        </w:rPr>
        <w:t>T</w:t>
      </w:r>
      <w:r>
        <w:rPr>
          <w:rFonts w:cs="v4.2.0"/>
          <w:vertAlign w:val="subscript"/>
        </w:rPr>
        <w:t>measure,EUTRAN</w:t>
      </w:r>
      <w:r>
        <w:rPr>
          <w:vertAlign w:val="subscript"/>
        </w:rPr>
        <w:t>_RedCap_Relax</w:t>
      </w:r>
      <w:r>
        <w:t xml:space="preserve"> and </w:t>
      </w:r>
      <w:r>
        <w:rPr>
          <w:rFonts w:cs="v4.2.0"/>
        </w:rPr>
        <w:t>T</w:t>
      </w:r>
      <w:r>
        <w:rPr>
          <w:rFonts w:cs="v4.2.0"/>
          <w:vertAlign w:val="subscript"/>
        </w:rPr>
        <w:t>evaluate,EUTRAN</w:t>
      </w:r>
      <w:r>
        <w:rPr>
          <w:vertAlign w:val="subscript"/>
        </w:rPr>
        <w:t>_RedCap_Relax</w:t>
      </w:r>
      <w:r>
        <w:rPr>
          <w:rFonts w:cs="v4.2.0"/>
        </w:rPr>
        <w:t xml:space="preserve"> are </w:t>
      </w:r>
      <w:r>
        <w:t xml:space="preserve">as specified in </w:t>
      </w:r>
      <w:r>
        <w:rPr>
          <w:lang w:val="en-US"/>
        </w:rPr>
        <w:t xml:space="preserve">Table 4.2B.2.11.9-3, </w:t>
      </w:r>
      <w:r>
        <w:t xml:space="preserve">provided eDRX_IDLE cycle is </w:t>
      </w:r>
      <w:r>
        <w:rPr>
          <w:rFonts w:hint="eastAsia"/>
        </w:rPr>
        <w:t>≤</w:t>
      </w:r>
      <w:r>
        <w:t xml:space="preserve"> [163.84] sec and evaluation/measurement time with relaxation on one carrier is not greater than single PTW window length.</w:t>
      </w:r>
    </w:p>
    <w:p>
      <w:pPr>
        <w:spacing w:after="0"/>
      </w:pPr>
    </w:p>
    <w:p>
      <w:r>
        <w:t>When Srxlev &gt; S</w:t>
      </w:r>
      <w:r>
        <w:rPr>
          <w:vertAlign w:val="subscript"/>
        </w:rPr>
        <w:t>nonIntraSearchP</w:t>
      </w:r>
      <w:r>
        <w:t xml:space="preserve"> and Squal &gt; S</w:t>
      </w:r>
      <w:r>
        <w:rPr>
          <w:vertAlign w:val="subscript"/>
        </w:rPr>
        <w:t>nonIntraSearchQ</w:t>
      </w:r>
      <w:r>
        <w:t xml:space="preserve"> and the UE is configured with </w:t>
      </w:r>
      <w:r>
        <w:rPr>
          <w:i/>
          <w:iCs/>
        </w:rPr>
        <w:t>highPriorityMeasRelax</w:t>
      </w:r>
      <w:r>
        <w:t xml:space="preserve"> [2] then the UE shall search for E-UTRA inter-</w:t>
      </w:r>
      <w:r>
        <w:rPr>
          <w:rFonts w:hint="eastAsia"/>
        </w:rPr>
        <w:t xml:space="preserve">RAT </w:t>
      </w:r>
      <w:r>
        <w:t>frequency layers of higher priority at least every K2*T</w:t>
      </w:r>
      <w:r>
        <w:rPr>
          <w:vertAlign w:val="subscript"/>
        </w:rPr>
        <w:t>higher_priority_search</w:t>
      </w:r>
      <w:del w:id="27" w:author="Wu Yan (ZTE)" w:date="2024-10-31T15:03:23Z">
        <w:r>
          <w:rPr>
            <w:vertAlign w:val="subscript"/>
          </w:rPr>
          <w:delText xml:space="preserve"> seconds</w:delText>
        </w:r>
      </w:del>
      <w:r>
        <w:rPr>
          <w:vertAlign w:val="subscript"/>
        </w:rPr>
        <w:t xml:space="preserve"> </w:t>
      </w:r>
      <w:r>
        <w:t>where T</w:t>
      </w:r>
      <w:r>
        <w:rPr>
          <w:vertAlign w:val="subscript"/>
        </w:rPr>
        <w:t>higher_priority_search</w:t>
      </w:r>
      <w:r>
        <w:t xml:space="preserve"> is described in clause 4.2B.2.7 and, </w:t>
      </w:r>
      <w:r>
        <w:rPr>
          <w:snapToGrid w:val="0"/>
        </w:rPr>
        <w:t>K2 = 60</w:t>
      </w:r>
      <w:r>
        <w:t xml:space="preserve">. Otherwise, if the UE is not configured with </w:t>
      </w:r>
      <w:r>
        <w:rPr>
          <w:i/>
          <w:iCs/>
        </w:rPr>
        <w:t>highPriorityMeasRelax</w:t>
      </w:r>
      <w:r>
        <w:t xml:space="preserve"> [2] then the UE shall search for E-UTRA inter-</w:t>
      </w:r>
      <w:r>
        <w:rPr>
          <w:rFonts w:hint="eastAsia"/>
        </w:rPr>
        <w:t>RA</w:t>
      </w:r>
      <w:r>
        <w:t>T</w:t>
      </w:r>
      <w:r>
        <w:rPr>
          <w:rFonts w:hint="eastAsia"/>
        </w:rPr>
        <w:t xml:space="preserve"> </w:t>
      </w:r>
      <w:r>
        <w:t>frequency layers of higher priority at least every T</w:t>
      </w:r>
      <w:r>
        <w:rPr>
          <w:vertAlign w:val="subscript"/>
        </w:rPr>
        <w:t xml:space="preserve">higher_priority_search </w:t>
      </w:r>
      <w:r>
        <w:t>where T</w:t>
      </w:r>
      <w:r>
        <w:rPr>
          <w:vertAlign w:val="subscript"/>
        </w:rPr>
        <w:t>higher_priority_search</w:t>
      </w:r>
      <w:r>
        <w:t xml:space="preserve"> is described in clause 4.2B.2.7.</w:t>
      </w:r>
    </w:p>
    <w:p>
      <w:pPr>
        <w:pStyle w:val="79"/>
        <w:rPr>
          <w:rFonts w:cs="v4.2.0"/>
          <w:vertAlign w:val="subscript"/>
        </w:rPr>
      </w:pPr>
      <w:r>
        <w:rPr>
          <w:snapToGrid w:val="0"/>
        </w:rPr>
        <w:t xml:space="preserve">Table 4.2B.2.11.9-1: </w:t>
      </w:r>
      <w:r>
        <w:t>T</w:t>
      </w:r>
      <w:r>
        <w:rPr>
          <w:vertAlign w:val="subscript"/>
        </w:rPr>
        <w:t>detect,EUTRAN_RedCap_Relax</w:t>
      </w:r>
      <w:r>
        <w:rPr>
          <w:snapToGrid w:val="0"/>
        </w:rPr>
        <w:t xml:space="preserve">, </w:t>
      </w:r>
      <w:r>
        <w:t>T</w:t>
      </w:r>
      <w:r>
        <w:rPr>
          <w:vertAlign w:val="subscript"/>
        </w:rPr>
        <w:t>measure,EUTRAN_RedCap_Relax,</w:t>
      </w:r>
      <w:r>
        <w:t xml:space="preserve"> and </w:t>
      </w:r>
      <w:r>
        <w:rPr>
          <w:rFonts w:cs="v4.2.0"/>
        </w:rPr>
        <w:t>T</w:t>
      </w:r>
      <w:r>
        <w:rPr>
          <w:rFonts w:cs="v4.2.0"/>
          <w:vertAlign w:val="subscript"/>
        </w:rPr>
        <w:t>evaluate,EUTRAN</w:t>
      </w:r>
      <w:r>
        <w:rPr>
          <w:vertAlign w:val="subscript"/>
        </w:rPr>
        <w:t>_RedCap_Relax</w:t>
      </w:r>
      <w:r>
        <w:rPr>
          <w:snapToGrid w:val="0"/>
        </w:rPr>
        <w:t xml:space="preserve"> </w:t>
      </w:r>
    </w:p>
    <w:tbl>
      <w:tblPr>
        <w:tblStyle w:val="59"/>
        <w:tblW w:w="46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2"/>
        <w:gridCol w:w="2466"/>
        <w:gridCol w:w="2400"/>
        <w:gridCol w:w="2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cycle length [s]</w:t>
            </w:r>
          </w:p>
        </w:tc>
        <w:tc>
          <w:tcPr>
            <w:tcW w:w="1349" w:type="pct"/>
            <w:tcBorders>
              <w:top w:val="single" w:color="auto" w:sz="4" w:space="0"/>
              <w:left w:val="single" w:color="auto" w:sz="4" w:space="0"/>
              <w:bottom w:val="single" w:color="auto" w:sz="4" w:space="0"/>
              <w:right w:val="single" w:color="auto" w:sz="4" w:space="0"/>
            </w:tcBorders>
          </w:tcPr>
          <w:p>
            <w:pPr>
              <w:pStyle w:val="75"/>
              <w:rPr>
                <w:rFonts w:cs="Arial"/>
              </w:rPr>
            </w:pPr>
            <w:r>
              <w:t>T</w:t>
            </w:r>
            <w:r>
              <w:rPr>
                <w:vertAlign w:val="subscript"/>
              </w:rPr>
              <w:t>detect,EUTRAN_RedCap_Relax</w:t>
            </w:r>
            <w:r>
              <w:t xml:space="preserve"> [s] (number of DRX cycles)</w:t>
            </w:r>
          </w:p>
        </w:tc>
        <w:tc>
          <w:tcPr>
            <w:tcW w:w="1313"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T</w:t>
            </w:r>
            <w:r>
              <w:rPr>
                <w:vertAlign w:val="subscript"/>
              </w:rPr>
              <w:t>measure,EUTRAN_RedCap_Relax</w:t>
            </w:r>
            <w:r>
              <w:t xml:space="preserve"> [s] (number of DRX cycles)</w:t>
            </w:r>
          </w:p>
        </w:tc>
        <w:tc>
          <w:tcPr>
            <w:tcW w:w="1626" w:type="pct"/>
            <w:tcBorders>
              <w:top w:val="single" w:color="auto" w:sz="4" w:space="0"/>
              <w:left w:val="single" w:color="auto" w:sz="4" w:space="0"/>
              <w:bottom w:val="single" w:color="auto" w:sz="4" w:space="0"/>
              <w:right w:val="single" w:color="auto" w:sz="4" w:space="0"/>
            </w:tcBorders>
          </w:tcPr>
          <w:p>
            <w:pPr>
              <w:pStyle w:val="75"/>
              <w:rPr>
                <w:rFonts w:cs="Arial"/>
                <w:vertAlign w:val="subscript"/>
              </w:rPr>
            </w:pPr>
            <w:r>
              <w:t>T</w:t>
            </w:r>
            <w:r>
              <w:rPr>
                <w:vertAlign w:val="subscript"/>
              </w:rPr>
              <w:t>evaluate,EUTRAN_RedCap_Relax</w:t>
            </w:r>
          </w:p>
          <w:p>
            <w:pPr>
              <w:pStyle w:val="75"/>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11.52</w:t>
            </w:r>
            <w:r>
              <w:rPr>
                <w:lang w:val="sv-SE"/>
              </w:rPr>
              <w:t xml:space="preserve"> x </w:t>
            </w:r>
            <w:r>
              <w:rPr>
                <w:snapToGrid w:val="0"/>
                <w:lang w:val="sv-SE"/>
              </w:rPr>
              <w:t>K1</w:t>
            </w:r>
            <w:r>
              <w:t xml:space="preserve"> (36</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w:t>
            </w:r>
            <w:r>
              <w:rPr>
                <w:lang w:val="sv-SE"/>
              </w:rPr>
              <w:t xml:space="preserve"> x </w:t>
            </w:r>
            <w:r>
              <w:rPr>
                <w:snapToGrid w:val="0"/>
                <w:lang w:val="sv-SE"/>
              </w:rPr>
              <w:t>K1</w:t>
            </w:r>
            <w:r>
              <w:rPr>
                <w:snapToGrid w:val="0"/>
              </w:rPr>
              <w:t xml:space="preserve"> (4</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5.12</w:t>
            </w:r>
            <w:r>
              <w:rPr>
                <w:lang w:val="sv-SE"/>
              </w:rPr>
              <w:t xml:space="preserve"> x </w:t>
            </w:r>
            <w:r>
              <w:rPr>
                <w:snapToGrid w:val="0"/>
                <w:lang w:val="sv-SE"/>
              </w:rPr>
              <w:t>K1</w:t>
            </w:r>
            <w:r>
              <w:t xml:space="preserve"> (16</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17.92</w:t>
            </w:r>
            <w:r>
              <w:rPr>
                <w:lang w:val="sv-SE"/>
              </w:rPr>
              <w:t xml:space="preserve"> x </w:t>
            </w:r>
            <w:r>
              <w:rPr>
                <w:snapToGrid w:val="0"/>
                <w:lang w:val="sv-SE"/>
              </w:rPr>
              <w:t>K1</w:t>
            </w:r>
            <w:r>
              <w:t xml:space="preserve"> (28</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w:t>
            </w:r>
            <w:r>
              <w:rPr>
                <w:lang w:val="sv-SE"/>
              </w:rPr>
              <w:t xml:space="preserve"> x </w:t>
            </w:r>
            <w:r>
              <w:rPr>
                <w:snapToGrid w:val="0"/>
                <w:lang w:val="sv-SE"/>
              </w:rPr>
              <w:t>K1</w:t>
            </w:r>
            <w:r>
              <w:rPr>
                <w:snapToGrid w:val="0"/>
              </w:rPr>
              <w:t xml:space="preserve"> (2</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5.12</w:t>
            </w:r>
            <w:r>
              <w:rPr>
                <w:lang w:val="sv-SE"/>
              </w:rPr>
              <w:t xml:space="preserve"> x </w:t>
            </w:r>
            <w:r>
              <w:rPr>
                <w:snapToGrid w:val="0"/>
                <w:lang w:val="sv-SE"/>
              </w:rPr>
              <w:t>K1</w:t>
            </w:r>
            <w:r>
              <w:t xml:space="preserve"> (8</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32</w:t>
            </w:r>
            <w:r>
              <w:rPr>
                <w:lang w:val="sv-SE"/>
              </w:rPr>
              <w:t xml:space="preserve"> x </w:t>
            </w:r>
            <w:r>
              <w:rPr>
                <w:snapToGrid w:val="0"/>
                <w:lang w:val="sv-SE"/>
              </w:rPr>
              <w:t>K1</w:t>
            </w:r>
            <w:r>
              <w:t xml:space="preserve"> (25</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1.28</w:t>
            </w:r>
            <w:r>
              <w:rPr>
                <w:lang w:val="sv-SE"/>
              </w:rPr>
              <w:t xml:space="preserve"> x </w:t>
            </w:r>
            <w:r>
              <w:rPr>
                <w:snapToGrid w:val="0"/>
                <w:lang w:val="sv-SE"/>
              </w:rPr>
              <w:t>K1</w:t>
            </w:r>
            <w:r>
              <w:rPr>
                <w:snapToGrid w:val="0"/>
              </w:rPr>
              <w:t xml:space="preserve"> (1</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6.4</w:t>
            </w:r>
            <w:r>
              <w:rPr>
                <w:lang w:val="sv-SE"/>
              </w:rPr>
              <w:t xml:space="preserve"> x </w:t>
            </w:r>
            <w:r>
              <w:rPr>
                <w:snapToGrid w:val="0"/>
                <w:lang w:val="sv-SE"/>
              </w:rPr>
              <w:t>K1</w:t>
            </w:r>
            <w:r>
              <w:t xml:space="preserve"> (5</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2"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1349" w:type="pct"/>
            <w:tcBorders>
              <w:top w:val="single" w:color="auto" w:sz="4" w:space="0"/>
              <w:left w:val="single" w:color="auto" w:sz="4" w:space="0"/>
              <w:bottom w:val="single" w:color="auto" w:sz="4" w:space="0"/>
              <w:right w:val="single" w:color="auto" w:sz="4" w:space="0"/>
            </w:tcBorders>
          </w:tcPr>
          <w:p>
            <w:pPr>
              <w:pStyle w:val="76"/>
              <w:rPr>
                <w:snapToGrid w:val="0"/>
              </w:rPr>
            </w:pPr>
            <w:r>
              <w:t>58.88</w:t>
            </w:r>
            <w:r>
              <w:rPr>
                <w:lang w:val="sv-SE"/>
              </w:rPr>
              <w:t xml:space="preserve"> x </w:t>
            </w:r>
            <w:r>
              <w:rPr>
                <w:snapToGrid w:val="0"/>
                <w:lang w:val="sv-SE"/>
              </w:rPr>
              <w:t>K1</w:t>
            </w:r>
            <w:r>
              <w:t xml:space="preserve"> (23</w:t>
            </w:r>
            <w:r>
              <w:rPr>
                <w:lang w:val="sv-SE"/>
              </w:rPr>
              <w:t xml:space="preserve"> x </w:t>
            </w:r>
            <w:r>
              <w:rPr>
                <w:snapToGrid w:val="0"/>
                <w:lang w:val="sv-SE"/>
              </w:rPr>
              <w:t>K1</w:t>
            </w:r>
            <w:r>
              <w:t>)</w:t>
            </w:r>
          </w:p>
        </w:tc>
        <w:tc>
          <w:tcPr>
            <w:tcW w:w="1313"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2.56 (1</w:t>
            </w:r>
            <w:r>
              <w:rPr>
                <w:lang w:val="sv-SE"/>
              </w:rPr>
              <w:t xml:space="preserve"> x </w:t>
            </w:r>
            <w:r>
              <w:rPr>
                <w:snapToGrid w:val="0"/>
                <w:lang w:val="sv-SE"/>
              </w:rPr>
              <w:t>K1</w:t>
            </w:r>
            <w:r>
              <w:rPr>
                <w:snapToGrid w:val="0"/>
              </w:rPr>
              <w:t>)</w:t>
            </w:r>
          </w:p>
        </w:tc>
        <w:tc>
          <w:tcPr>
            <w:tcW w:w="1626" w:type="pct"/>
            <w:tcBorders>
              <w:top w:val="single" w:color="auto" w:sz="4" w:space="0"/>
              <w:left w:val="single" w:color="auto" w:sz="4" w:space="0"/>
              <w:bottom w:val="single" w:color="auto" w:sz="4" w:space="0"/>
              <w:right w:val="single" w:color="auto" w:sz="4" w:space="0"/>
            </w:tcBorders>
          </w:tcPr>
          <w:p>
            <w:pPr>
              <w:pStyle w:val="76"/>
              <w:rPr>
                <w:snapToGrid w:val="0"/>
              </w:rPr>
            </w:pPr>
            <w:r>
              <w:t>7.68</w:t>
            </w:r>
            <w:r>
              <w:rPr>
                <w:lang w:val="sv-SE"/>
              </w:rPr>
              <w:t xml:space="preserve"> x </w:t>
            </w:r>
            <w:r>
              <w:rPr>
                <w:snapToGrid w:val="0"/>
                <w:lang w:val="sv-SE"/>
              </w:rPr>
              <w:t>K1</w:t>
            </w:r>
            <w:r>
              <w:t xml:space="preserve"> (3</w:t>
            </w:r>
            <w:r>
              <w:rPr>
                <w:lang w:val="sv-SE"/>
              </w:rPr>
              <w:t xml:space="preserve"> x </w:t>
            </w:r>
            <w:r>
              <w:rPr>
                <w:snapToGrid w:val="0"/>
                <w:lang w:val="sv-SE"/>
              </w:rPr>
              <w:t>K1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0"/>
              <w:rPr>
                <w:rFonts w:cs="Arial"/>
              </w:rPr>
            </w:pPr>
            <w:r>
              <w:t>Note 1:</w:t>
            </w:r>
            <w:r>
              <w:rPr>
                <w:lang w:val="en-US"/>
              </w:rPr>
              <w:tab/>
            </w:r>
            <w:r>
              <w:t xml:space="preserve">K1 = 3 is the measurement relaxation factor applicable for UE fulfilling the </w:t>
            </w:r>
            <w:r>
              <w:rPr>
                <w:i/>
                <w:iCs/>
              </w:rPr>
              <w:t>lowMobilityEvalutation</w:t>
            </w:r>
            <w:r>
              <w:t xml:space="preserve"> [2] criterion</w:t>
            </w:r>
            <w:r>
              <w:rPr>
                <w:snapToGrid w:val="0"/>
              </w:rPr>
              <w:t>.</w:t>
            </w:r>
          </w:p>
        </w:tc>
      </w:tr>
    </w:tbl>
    <w:p>
      <w:pPr>
        <w:rPr>
          <w:lang w:val="en-US"/>
        </w:rPr>
      </w:pPr>
    </w:p>
    <w:p>
      <w:pPr>
        <w:pStyle w:val="79"/>
        <w:rPr>
          <w:lang w:val="en-US"/>
        </w:rPr>
      </w:pPr>
      <w:r>
        <w:rPr>
          <w:lang w:val="en-US"/>
        </w:rPr>
        <w:t>Table 4.2B.2.11.9-2: T</w:t>
      </w:r>
      <w:r>
        <w:rPr>
          <w:vertAlign w:val="subscript"/>
          <w:lang w:val="en-US"/>
        </w:rPr>
        <w:t>detect,</w:t>
      </w:r>
      <w:r>
        <w:rPr>
          <w:vertAlign w:val="subscript"/>
        </w:rPr>
        <w:t>EUTRAN</w:t>
      </w:r>
      <w:ins w:id="28" w:author="Wu Yan (ZTE)" w:date="2024-10-31T15:03:42Z">
        <w:r>
          <w:rPr>
            <w:rFonts w:cs="Arial"/>
            <w:szCs w:val="18"/>
            <w:vertAlign w:val="subscript"/>
            <w:lang w:val="en-US"/>
          </w:rPr>
          <w:t>_RedCap</w:t>
        </w:r>
      </w:ins>
      <w:r>
        <w:rPr>
          <w:vertAlign w:val="subscript"/>
          <w:lang w:val="en-US"/>
        </w:rPr>
        <w:t>_Relax</w:t>
      </w:r>
      <w:r>
        <w:rPr>
          <w:lang w:val="en-US"/>
        </w:rPr>
        <w:t>, T</w:t>
      </w:r>
      <w:r>
        <w:rPr>
          <w:vertAlign w:val="subscript"/>
          <w:lang w:val="en-US"/>
        </w:rPr>
        <w:t>measure,</w:t>
      </w:r>
      <w:r>
        <w:rPr>
          <w:rFonts w:ascii="Times New Roman" w:hAnsi="Times New Roman"/>
          <w:color w:val="000000"/>
          <w:sz w:val="24"/>
          <w:szCs w:val="24"/>
        </w:rPr>
        <w:t xml:space="preserve"> </w:t>
      </w:r>
      <w:r>
        <w:rPr>
          <w:vertAlign w:val="subscript"/>
        </w:rPr>
        <w:t>EUTRAN</w:t>
      </w:r>
      <w:r>
        <w:rPr>
          <w:vertAlign w:val="subscript"/>
          <w:lang w:val="en-US"/>
        </w:rPr>
        <w:t>_RedCap_Relax</w:t>
      </w:r>
      <w:r>
        <w:rPr>
          <w:lang w:val="en-US"/>
        </w:rPr>
        <w:t xml:space="preserve"> and T</w:t>
      </w:r>
      <w:r>
        <w:rPr>
          <w:vertAlign w:val="subscript"/>
          <w:lang w:val="en-US"/>
        </w:rPr>
        <w:t>evaluate,</w:t>
      </w:r>
      <w:r>
        <w:rPr>
          <w:vertAlign w:val="subscript"/>
        </w:rPr>
        <w:t xml:space="preserve"> EUTRAN</w:t>
      </w:r>
      <w:r>
        <w:rPr>
          <w:vertAlign w:val="subscript"/>
          <w:lang w:val="en-US"/>
        </w:rPr>
        <w:t>_RedCap_Relax</w:t>
      </w:r>
      <w:r>
        <w:rPr>
          <w:lang w:val="en-US"/>
        </w:rPr>
        <w:t xml:space="preserve"> for UE configured with eDRX_IDLE cycle upto 10.24s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6"/>
        <w:gridCol w:w="2714"/>
        <w:gridCol w:w="2757"/>
        <w:gridCol w:w="2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single" w:color="auto" w:sz="4" w:space="0"/>
              <w:left w:val="single" w:color="auto" w:sz="4" w:space="0"/>
              <w:bottom w:val="nil"/>
              <w:right w:val="single" w:color="auto" w:sz="4" w:space="0"/>
            </w:tcBorders>
            <w:shd w:val="clear" w:color="auto" w:fill="auto"/>
          </w:tcPr>
          <w:p>
            <w:pPr>
              <w:pStyle w:val="75"/>
            </w:pPr>
            <w:r>
              <w:rPr>
                <w:rFonts w:cs="Arial"/>
              </w:rPr>
              <w:t>eDRX_IDLE cycle length [s]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rPr>
                <w:rFonts w:cs="Arial"/>
                <w:szCs w:val="18"/>
                <w:lang w:val="en-US"/>
              </w:rPr>
              <w:t>T</w:t>
            </w:r>
            <w:r>
              <w:rPr>
                <w:rFonts w:cs="Arial"/>
                <w:szCs w:val="18"/>
                <w:vertAlign w:val="subscript"/>
                <w:lang w:val="en-US"/>
              </w:rPr>
              <w:t>detect,</w:t>
            </w:r>
            <w:r>
              <w:rPr>
                <w:sz w:val="20"/>
                <w:vertAlign w:val="subscript"/>
              </w:rPr>
              <w:t xml:space="preserve"> EUTRAN</w:t>
            </w:r>
            <w:r>
              <w:rPr>
                <w:rFonts w:cs="Arial"/>
                <w:szCs w:val="18"/>
                <w:vertAlign w:val="subscript"/>
                <w:lang w:val="en-US"/>
              </w:rPr>
              <w:t>_RedCap_Relax</w:t>
            </w:r>
            <w:r>
              <w:rPr>
                <w:rFonts w:cs="Arial"/>
                <w:szCs w:val="18"/>
              </w:rPr>
              <w:t xml:space="preserve"> [s] (number of eDRX IDLE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rPr>
                <w:rFonts w:cs="Arial"/>
                <w:szCs w:val="18"/>
                <w:lang w:val="en-US"/>
              </w:rPr>
              <w:t>T</w:t>
            </w:r>
            <w:r>
              <w:rPr>
                <w:rFonts w:cs="Arial"/>
                <w:szCs w:val="18"/>
                <w:vertAlign w:val="subscript"/>
                <w:lang w:val="en-US"/>
              </w:rPr>
              <w:t>measure,</w:t>
            </w:r>
            <w:r>
              <w:rPr>
                <w:sz w:val="20"/>
                <w:vertAlign w:val="subscript"/>
              </w:rPr>
              <w:t xml:space="preserve"> EUTRAN</w:t>
            </w:r>
            <w:r>
              <w:rPr>
                <w:rFonts w:cs="Arial"/>
                <w:szCs w:val="18"/>
                <w:vertAlign w:val="subscript"/>
                <w:lang w:val="en-US"/>
              </w:rPr>
              <w:t>_RedCap_Relax</w:t>
            </w:r>
            <w:r>
              <w:rPr>
                <w:rFonts w:cs="Arial"/>
                <w:szCs w:val="18"/>
                <w:lang w:val="en-US"/>
              </w:rPr>
              <w:t xml:space="preserve"> </w:t>
            </w:r>
            <w:r>
              <w:rPr>
                <w:rFonts w:cs="Arial"/>
                <w:szCs w:val="18"/>
              </w:rPr>
              <w:t>[s] (number of eDRX IDLE cycles)</w:t>
            </w:r>
          </w:p>
        </w:tc>
        <w:tc>
          <w:tcPr>
            <w:tcW w:w="0" w:type="auto"/>
            <w:vMerge w:val="restart"/>
            <w:tcBorders>
              <w:top w:val="single" w:color="auto" w:sz="4" w:space="0"/>
              <w:left w:val="single" w:color="auto" w:sz="4" w:space="0"/>
              <w:bottom w:val="single" w:color="auto" w:sz="4" w:space="0"/>
              <w:right w:val="single" w:color="auto" w:sz="4" w:space="0"/>
            </w:tcBorders>
          </w:tcPr>
          <w:p>
            <w:pPr>
              <w:pStyle w:val="75"/>
            </w:pPr>
            <w:r>
              <w:rPr>
                <w:rFonts w:cs="Arial"/>
                <w:szCs w:val="18"/>
                <w:lang w:val="en-US"/>
              </w:rPr>
              <w:t>T</w:t>
            </w:r>
            <w:r>
              <w:rPr>
                <w:rFonts w:cs="Arial"/>
                <w:szCs w:val="18"/>
                <w:vertAlign w:val="subscript"/>
                <w:lang w:val="en-US"/>
              </w:rPr>
              <w:t>evaluate,</w:t>
            </w:r>
            <w:r>
              <w:rPr>
                <w:sz w:val="20"/>
                <w:vertAlign w:val="subscript"/>
              </w:rPr>
              <w:t xml:space="preserve"> EUTRAN</w:t>
            </w:r>
            <w:r>
              <w:rPr>
                <w:rFonts w:cs="Arial"/>
                <w:szCs w:val="18"/>
                <w:vertAlign w:val="subscript"/>
                <w:lang w:val="en-US"/>
              </w:rPr>
              <w:t xml:space="preserve">_RedCap_Relax </w:t>
            </w:r>
            <w:r>
              <w:rPr>
                <w:rFonts w:cs="Arial"/>
                <w:szCs w:val="18"/>
              </w:rPr>
              <w:t>[s] (number of eDRX IDLE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2.56</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58.88 x K1 (23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2.56 (1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7.68 x K1 (3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5.12</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117.76</w:t>
            </w:r>
            <w:r>
              <w:rPr>
                <w:rFonts w:cs="Arial"/>
                <w:szCs w:val="18"/>
                <w:lang w:val="sv-SE"/>
              </w:rPr>
              <w:t xml:space="preserve"> x </w:t>
            </w:r>
            <w:r>
              <w:rPr>
                <w:rFonts w:cs="Arial"/>
                <w:szCs w:val="18"/>
              </w:rPr>
              <w:t>K1 (23</w:t>
            </w:r>
            <w:r>
              <w:rPr>
                <w:rFonts w:cs="Arial"/>
                <w:szCs w:val="18"/>
                <w:lang w:val="sv-SE"/>
              </w:rPr>
              <w:t xml:space="preserve"> x </w:t>
            </w:r>
            <w:r>
              <w:rPr>
                <w:rFonts w:cs="Arial"/>
                <w:szCs w:val="18"/>
              </w:rPr>
              <w:t>K1)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5.12</w:t>
            </w:r>
            <w:r>
              <w:rPr>
                <w:rFonts w:cs="Arial"/>
                <w:szCs w:val="18"/>
                <w:lang w:val="sv-SE"/>
              </w:rPr>
              <w:t xml:space="preserve"> x </w:t>
            </w:r>
            <w:r>
              <w:rPr>
                <w:rFonts w:cs="Arial"/>
                <w:szCs w:val="18"/>
              </w:rPr>
              <w:t>K1 (1</w:t>
            </w:r>
            <w:r>
              <w:rPr>
                <w:rFonts w:cs="Arial"/>
                <w:szCs w:val="18"/>
                <w:lang w:val="sv-SE"/>
              </w:rPr>
              <w:t xml:space="preserve"> x </w:t>
            </w:r>
            <w:r>
              <w:rPr>
                <w:rFonts w:cs="Arial"/>
                <w:szCs w:val="18"/>
              </w:rPr>
              <w:t>K1)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szCs w:val="18"/>
              </w:rPr>
              <w:t>10.24</w:t>
            </w:r>
            <w:r>
              <w:rPr>
                <w:rFonts w:cs="Arial"/>
                <w:szCs w:val="18"/>
                <w:lang w:val="sv-SE"/>
              </w:rPr>
              <w:t xml:space="preserve"> x </w:t>
            </w:r>
            <w:r>
              <w:rPr>
                <w:rFonts w:cs="Arial"/>
                <w:szCs w:val="18"/>
              </w:rPr>
              <w:t>K1 (2</w:t>
            </w:r>
            <w:r>
              <w:rPr>
                <w:rFonts w:cs="Arial"/>
                <w:szCs w:val="18"/>
                <w:lang w:val="sv-SE"/>
              </w:rPr>
              <w:t xml:space="preserve"> x </w:t>
            </w:r>
            <w:r>
              <w:rPr>
                <w:rFonts w:cs="Arial"/>
                <w:szCs w:val="18"/>
              </w:rPr>
              <w:t>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10.24</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235.52 x K1 (23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10.24 x K1 (1 x K1)</w:t>
            </w:r>
          </w:p>
        </w:tc>
        <w:tc>
          <w:tcPr>
            <w:tcW w:w="0" w:type="auto"/>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8"/>
              </w:rPr>
              <w:t>20.48 x K1 (2 x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90"/>
            </w:pPr>
            <w:r>
              <w:rPr>
                <w:rFonts w:cs="Arial"/>
                <w:snapToGrid w:val="0"/>
                <w:szCs w:val="18"/>
              </w:rPr>
              <w:t>Note 1:</w:t>
            </w:r>
            <w:r>
              <w:rPr>
                <w:rFonts w:cs="Arial"/>
                <w:snapToGrid w:val="0"/>
                <w:szCs w:val="18"/>
              </w:rPr>
              <w:tab/>
            </w:r>
            <w:r>
              <w:rPr>
                <w:rFonts w:cs="Arial"/>
                <w:snapToGrid w:val="0"/>
                <w:szCs w:val="18"/>
              </w:rPr>
              <w:t xml:space="preserve">K1 = 3 is the measurement relaxation factor applicable for UE fulfilling the </w:t>
            </w:r>
            <w:r>
              <w:rPr>
                <w:i/>
                <w:iCs/>
              </w:rPr>
              <w:t>lowMobilityEvaluation</w:t>
            </w:r>
            <w:r>
              <w:rPr>
                <w:rFonts w:cs="Arial"/>
                <w:snapToGrid w:val="0"/>
                <w:szCs w:val="18"/>
              </w:rPr>
              <w:t xml:space="preserve"> [2] criterion.</w:t>
            </w:r>
          </w:p>
        </w:tc>
      </w:tr>
    </w:tbl>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7</w:t>
      </w:r>
      <w:r>
        <w:rPr>
          <w:rFonts w:eastAsia="宋体"/>
          <w:highlight w:val="yellow"/>
          <w:lang w:eastAsia="zh-CN"/>
        </w:rPr>
        <w:t>&gt;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10827822"/>
    <w:rsid w:val="131A755A"/>
    <w:rsid w:val="17A46BCF"/>
    <w:rsid w:val="183C7DEA"/>
    <w:rsid w:val="21D75195"/>
    <w:rsid w:val="24280D55"/>
    <w:rsid w:val="2441618A"/>
    <w:rsid w:val="2580651A"/>
    <w:rsid w:val="26571970"/>
    <w:rsid w:val="278D1641"/>
    <w:rsid w:val="2A5C1303"/>
    <w:rsid w:val="2E016B8B"/>
    <w:rsid w:val="2E3C6898"/>
    <w:rsid w:val="2FDC1914"/>
    <w:rsid w:val="31D420C7"/>
    <w:rsid w:val="33967B79"/>
    <w:rsid w:val="3A7072A1"/>
    <w:rsid w:val="3A7B6A1B"/>
    <w:rsid w:val="3B8755E2"/>
    <w:rsid w:val="3EEA220B"/>
    <w:rsid w:val="411B561D"/>
    <w:rsid w:val="42B84786"/>
    <w:rsid w:val="4ACD671D"/>
    <w:rsid w:val="4CE3471E"/>
    <w:rsid w:val="4F5A3DC7"/>
    <w:rsid w:val="4FC90BFB"/>
    <w:rsid w:val="53BD07B5"/>
    <w:rsid w:val="54FF699E"/>
    <w:rsid w:val="5615283D"/>
    <w:rsid w:val="576561FA"/>
    <w:rsid w:val="57B74E43"/>
    <w:rsid w:val="58FF0F15"/>
    <w:rsid w:val="5B7D0FC0"/>
    <w:rsid w:val="5F212CA2"/>
    <w:rsid w:val="63611E64"/>
    <w:rsid w:val="6908683F"/>
    <w:rsid w:val="6F5524CC"/>
    <w:rsid w:val="733F0D8F"/>
    <w:rsid w:val="769007BE"/>
    <w:rsid w:val="76A04CAC"/>
    <w:rsid w:val="77F305DD"/>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4</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2024-11-08T08:53:42Z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394D8E5A8F4C4160BB7F897B591CAE3F</vt:lpwstr>
  </property>
</Properties>
</file>